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B9E94" w14:textId="7E955A36" w:rsidR="002C0B9B" w:rsidRPr="004E1820" w:rsidRDefault="002C0B9B" w:rsidP="002C0B9B">
      <w:pPr>
        <w:pStyle w:val="1"/>
      </w:pPr>
      <w:r w:rsidRPr="004E1820">
        <w:t>Сводный годовой доклад о ходе реализации и об оценке эффективности государственных программ Мурманской области за 202</w:t>
      </w:r>
      <w:r w:rsidR="00B6726C">
        <w:t>4</w:t>
      </w:r>
      <w:r w:rsidRPr="004E1820">
        <w:t xml:space="preserve"> год</w:t>
      </w:r>
    </w:p>
    <w:p w14:paraId="738F8BDF" w14:textId="77777777" w:rsidR="002C0B9B" w:rsidRPr="004E1820" w:rsidRDefault="002C0B9B" w:rsidP="002C0B9B">
      <w:pPr>
        <w:pStyle w:val="330"/>
        <w:shd w:val="clear" w:color="auto" w:fill="auto"/>
        <w:spacing w:before="0" w:after="0" w:line="240" w:lineRule="auto"/>
        <w:ind w:right="-1"/>
        <w:rPr>
          <w:b w:val="0"/>
          <w:sz w:val="28"/>
          <w:szCs w:val="28"/>
        </w:rPr>
      </w:pPr>
    </w:p>
    <w:p w14:paraId="64F5F0BB" w14:textId="77777777" w:rsidR="005E4D6D" w:rsidRPr="004E1820" w:rsidRDefault="002C0B9B" w:rsidP="005E4D6D">
      <w:pPr>
        <w:rPr>
          <w:szCs w:val="28"/>
        </w:rPr>
      </w:pPr>
      <w:r w:rsidRPr="004E1820">
        <w:rPr>
          <w:szCs w:val="28"/>
        </w:rPr>
        <w:t xml:space="preserve">Доклад подготовлен в соответствии с Порядком разработки, реализации и оценки эффективности государственных программ Мурманской области (далее – Порядок), утвержденным </w:t>
      </w:r>
      <w:r w:rsidR="005E4D6D" w:rsidRPr="004E1820">
        <w:rPr>
          <w:szCs w:val="28"/>
        </w:rPr>
        <w:t xml:space="preserve">постановлением Правительства Мурманской области от 22.05.2018 № 232-ПП/5 </w:t>
      </w:r>
      <w:r w:rsidR="00925454">
        <w:rPr>
          <w:szCs w:val="28"/>
        </w:rPr>
        <w:t>«</w:t>
      </w:r>
      <w:r w:rsidR="005E4D6D" w:rsidRPr="004E1820">
        <w:rPr>
          <w:szCs w:val="28"/>
        </w:rPr>
        <w:t>О Порядке разработки, реализации и оценки эффективности государственных программ Мурманской области</w:t>
      </w:r>
      <w:r w:rsidR="00925454">
        <w:rPr>
          <w:szCs w:val="28"/>
        </w:rPr>
        <w:t>»</w:t>
      </w:r>
      <w:r w:rsidR="005E4D6D" w:rsidRPr="004E1820">
        <w:rPr>
          <w:szCs w:val="28"/>
        </w:rPr>
        <w:t>, на основании сведений, представленных ответственными исполнителями государственных программ Мурманской области.</w:t>
      </w:r>
    </w:p>
    <w:p w14:paraId="4A21268D" w14:textId="77777777" w:rsidR="00025909" w:rsidRDefault="00025909" w:rsidP="002C0B9B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 w:cs="Times New Roman"/>
          <w:b w:val="0"/>
          <w:bCs w:val="0"/>
          <w:sz w:val="28"/>
          <w:szCs w:val="28"/>
          <w:lang w:eastAsia="ru-RU"/>
        </w:rPr>
      </w:pPr>
      <w:r w:rsidRPr="00025909">
        <w:rPr>
          <w:rFonts w:eastAsia="Times New Roman" w:cs="Times New Roman"/>
          <w:b w:val="0"/>
          <w:bCs w:val="0"/>
          <w:sz w:val="28"/>
          <w:szCs w:val="28"/>
          <w:lang w:eastAsia="ru-RU"/>
        </w:rPr>
        <w:t>В соответствии с пунктом 12.11 Порядка ответственные исполнители государственных программ с учетом информации, полученной от соисполнителей и участников государственных программ, проводят оценку эффективности реализации государственных программ за отчетный год в соответствии с Методикой оценки эффективности государственных программ Мурманской области, установленной в приложении № 4 к Порядку, формируют Годовой отчет и не позднее 20 марта года, следующего за отчетным, направляют его в Министерство развития Арктики и экономики Мурманской области, Министерство финансов Мурманской области и размещают на своем официальном сайте в сети Интернет.</w:t>
      </w:r>
    </w:p>
    <w:p w14:paraId="74D0C949" w14:textId="77777777" w:rsidR="002C0B9B" w:rsidRPr="004E1820" w:rsidRDefault="002C0B9B" w:rsidP="002C0B9B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/>
          <w:bCs w:val="0"/>
          <w:sz w:val="28"/>
          <w:szCs w:val="22"/>
        </w:rPr>
      </w:pPr>
      <w:r w:rsidRPr="004E1820">
        <w:rPr>
          <w:rFonts w:eastAsia="Times New Roman"/>
          <w:bCs w:val="0"/>
          <w:sz w:val="28"/>
          <w:szCs w:val="22"/>
        </w:rPr>
        <w:t>1. Уровень достижения показателей</w:t>
      </w:r>
    </w:p>
    <w:p w14:paraId="08C6DC1A" w14:textId="12FB341E" w:rsidR="00A66E8D" w:rsidRPr="004E1820" w:rsidRDefault="00A951A0" w:rsidP="00A66E8D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Всего по 15</w:t>
      </w:r>
      <w:r w:rsidR="00A66E8D" w:rsidRPr="004E1820">
        <w:rPr>
          <w:rFonts w:eastAsia="Times New Roman"/>
          <w:b w:val="0"/>
          <w:bCs w:val="0"/>
          <w:sz w:val="28"/>
          <w:szCs w:val="22"/>
        </w:rPr>
        <w:t xml:space="preserve"> государственным программам в 202</w:t>
      </w:r>
      <w:r w:rsidR="00435D30">
        <w:rPr>
          <w:rFonts w:eastAsia="Times New Roman"/>
          <w:b w:val="0"/>
          <w:bCs w:val="0"/>
          <w:sz w:val="28"/>
          <w:szCs w:val="22"/>
        </w:rPr>
        <w:t>4</w:t>
      </w:r>
      <w:r w:rsidR="00A66E8D" w:rsidRPr="004E1820">
        <w:rPr>
          <w:rFonts w:eastAsia="Times New Roman"/>
          <w:b w:val="0"/>
          <w:bCs w:val="0"/>
          <w:sz w:val="28"/>
          <w:szCs w:val="22"/>
        </w:rPr>
        <w:t xml:space="preserve"> году были предусмотрены к достижению</w:t>
      </w:r>
      <w:r>
        <w:rPr>
          <w:rFonts w:eastAsia="Times New Roman"/>
          <w:b w:val="0"/>
          <w:bCs w:val="0"/>
          <w:sz w:val="28"/>
          <w:szCs w:val="22"/>
        </w:rPr>
        <w:t xml:space="preserve"> 41</w:t>
      </w:r>
      <w:r w:rsidR="00435D30">
        <w:rPr>
          <w:rFonts w:eastAsia="Times New Roman"/>
          <w:b w:val="0"/>
          <w:bCs w:val="0"/>
          <w:sz w:val="28"/>
          <w:szCs w:val="22"/>
        </w:rPr>
        <w:t>5</w:t>
      </w:r>
      <w:r w:rsidR="00A66E8D" w:rsidRPr="004E1820">
        <w:rPr>
          <w:rFonts w:eastAsia="Times New Roman"/>
          <w:b w:val="0"/>
          <w:bCs w:val="0"/>
          <w:sz w:val="28"/>
          <w:szCs w:val="22"/>
        </w:rPr>
        <w:t xml:space="preserve"> показателей (</w:t>
      </w:r>
      <w:r>
        <w:rPr>
          <w:rFonts w:eastAsia="Times New Roman"/>
          <w:b w:val="0"/>
          <w:bCs w:val="0"/>
          <w:sz w:val="28"/>
          <w:szCs w:val="22"/>
        </w:rPr>
        <w:t>в 202</w:t>
      </w:r>
      <w:r w:rsidR="00435D30">
        <w:rPr>
          <w:rFonts w:eastAsia="Times New Roman"/>
          <w:b w:val="0"/>
          <w:bCs w:val="0"/>
          <w:sz w:val="28"/>
          <w:szCs w:val="22"/>
        </w:rPr>
        <w:t>3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 xml:space="preserve"> году – 4</w:t>
      </w:r>
      <w:r>
        <w:rPr>
          <w:rFonts w:eastAsia="Times New Roman"/>
          <w:b w:val="0"/>
          <w:bCs w:val="0"/>
          <w:sz w:val="28"/>
          <w:szCs w:val="22"/>
        </w:rPr>
        <w:t>1</w:t>
      </w:r>
      <w:r w:rsidR="00435D30">
        <w:rPr>
          <w:rFonts w:eastAsia="Times New Roman"/>
          <w:b w:val="0"/>
          <w:bCs w:val="0"/>
          <w:sz w:val="28"/>
          <w:szCs w:val="22"/>
        </w:rPr>
        <w:t>4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 xml:space="preserve">, </w:t>
      </w:r>
      <w:r w:rsidR="00A66E8D" w:rsidRPr="004E1820">
        <w:rPr>
          <w:rFonts w:eastAsia="Times New Roman"/>
          <w:b w:val="0"/>
          <w:bCs w:val="0"/>
          <w:sz w:val="28"/>
          <w:szCs w:val="22"/>
        </w:rPr>
        <w:t>в 202</w:t>
      </w:r>
      <w:r w:rsidR="00435D30">
        <w:rPr>
          <w:rFonts w:eastAsia="Times New Roman"/>
          <w:b w:val="0"/>
          <w:bCs w:val="0"/>
          <w:sz w:val="28"/>
          <w:szCs w:val="22"/>
        </w:rPr>
        <w:t>2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 xml:space="preserve"> году – </w:t>
      </w:r>
      <w:r w:rsidR="00435D30">
        <w:rPr>
          <w:rFonts w:eastAsia="Times New Roman"/>
          <w:b w:val="0"/>
          <w:bCs w:val="0"/>
          <w:sz w:val="28"/>
          <w:szCs w:val="22"/>
        </w:rPr>
        <w:t>419</w:t>
      </w:r>
      <w:r w:rsidR="00A66E8D" w:rsidRPr="004E1820">
        <w:rPr>
          <w:rFonts w:eastAsia="Times New Roman"/>
          <w:b w:val="0"/>
          <w:bCs w:val="0"/>
          <w:sz w:val="28"/>
          <w:szCs w:val="22"/>
        </w:rPr>
        <w:t>), из которых (рисунок 1):</w:t>
      </w:r>
    </w:p>
    <w:p w14:paraId="4FF6782F" w14:textId="35547973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имеют высокую степень до</w:t>
      </w:r>
      <w:r w:rsidR="00DD2C83">
        <w:rPr>
          <w:rFonts w:eastAsia="Times New Roman"/>
          <w:b w:val="0"/>
          <w:bCs w:val="0"/>
          <w:sz w:val="28"/>
          <w:szCs w:val="22"/>
        </w:rPr>
        <w:t>стижения (от 99,5 до 150%) – 2</w:t>
      </w:r>
      <w:r w:rsidR="00435D30">
        <w:rPr>
          <w:rFonts w:eastAsia="Times New Roman"/>
          <w:b w:val="0"/>
          <w:bCs w:val="0"/>
          <w:sz w:val="28"/>
          <w:szCs w:val="22"/>
        </w:rPr>
        <w:t>79 (67</w:t>
      </w:r>
      <w:r w:rsidRPr="004E1820">
        <w:rPr>
          <w:rFonts w:eastAsia="Times New Roman"/>
          <w:b w:val="0"/>
          <w:bCs w:val="0"/>
          <w:sz w:val="28"/>
          <w:szCs w:val="22"/>
        </w:rPr>
        <w:t>,</w:t>
      </w:r>
      <w:r w:rsidR="00435D30">
        <w:rPr>
          <w:rFonts w:eastAsia="Times New Roman"/>
          <w:b w:val="0"/>
          <w:bCs w:val="0"/>
          <w:sz w:val="28"/>
          <w:szCs w:val="22"/>
        </w:rPr>
        <w:t>2</w:t>
      </w:r>
      <w:r w:rsidRPr="004E1820">
        <w:rPr>
          <w:rFonts w:eastAsia="Times New Roman"/>
          <w:b w:val="0"/>
          <w:bCs w:val="0"/>
          <w:sz w:val="28"/>
          <w:szCs w:val="22"/>
        </w:rPr>
        <w:t> % от общего числа показателей);</w:t>
      </w:r>
    </w:p>
    <w:p w14:paraId="3D6D7964" w14:textId="21104E7B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значительно</w:t>
      </w:r>
      <w:r w:rsidR="00435D30">
        <w:rPr>
          <w:rFonts w:eastAsia="Times New Roman"/>
          <w:b w:val="0"/>
          <w:bCs w:val="0"/>
          <w:sz w:val="28"/>
          <w:szCs w:val="22"/>
        </w:rPr>
        <w:t xml:space="preserve"> перевыполнены (более 150%) – 39 (9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,</w:t>
      </w:r>
      <w:r w:rsidR="00435D30">
        <w:rPr>
          <w:rFonts w:eastAsia="Times New Roman"/>
          <w:b w:val="0"/>
          <w:bCs w:val="0"/>
          <w:sz w:val="28"/>
          <w:szCs w:val="22"/>
        </w:rPr>
        <w:t>4</w:t>
      </w:r>
      <w:r w:rsidRPr="004E1820">
        <w:rPr>
          <w:rFonts w:eastAsia="Times New Roman"/>
          <w:b w:val="0"/>
          <w:bCs w:val="0"/>
          <w:sz w:val="28"/>
          <w:szCs w:val="22"/>
        </w:rPr>
        <w:t> %);</w:t>
      </w:r>
    </w:p>
    <w:p w14:paraId="2BD6D4C2" w14:textId="48808FA8" w:rsidR="00A66E8D" w:rsidRPr="004E1820" w:rsidRDefault="00A66E8D" w:rsidP="00A66E8D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имеют среднюю степень достижения (от 85 до 99</w:t>
      </w:r>
      <w:r w:rsidR="00DD2C83">
        <w:rPr>
          <w:rFonts w:eastAsia="Times New Roman"/>
          <w:b w:val="0"/>
          <w:bCs w:val="0"/>
          <w:sz w:val="28"/>
          <w:szCs w:val="22"/>
        </w:rPr>
        <w:t xml:space="preserve">,5%) – </w:t>
      </w:r>
      <w:r w:rsidR="00435D30">
        <w:rPr>
          <w:rFonts w:eastAsia="Times New Roman"/>
          <w:b w:val="0"/>
          <w:bCs w:val="0"/>
          <w:sz w:val="28"/>
          <w:szCs w:val="22"/>
        </w:rPr>
        <w:t>32</w:t>
      </w:r>
      <w:r w:rsidR="00DD2C83">
        <w:rPr>
          <w:rFonts w:eastAsia="Times New Roman"/>
          <w:b w:val="0"/>
          <w:bCs w:val="0"/>
          <w:sz w:val="28"/>
          <w:szCs w:val="22"/>
        </w:rPr>
        <w:t xml:space="preserve"> (7</w:t>
      </w:r>
      <w:r w:rsidR="00237BF1" w:rsidRPr="004E1820">
        <w:rPr>
          <w:rFonts w:eastAsia="Times New Roman"/>
          <w:b w:val="0"/>
          <w:bCs w:val="0"/>
          <w:sz w:val="28"/>
          <w:szCs w:val="22"/>
        </w:rPr>
        <w:t>,</w:t>
      </w:r>
      <w:r w:rsidR="00435D30">
        <w:rPr>
          <w:rFonts w:eastAsia="Times New Roman"/>
          <w:b w:val="0"/>
          <w:bCs w:val="0"/>
          <w:sz w:val="28"/>
          <w:szCs w:val="22"/>
        </w:rPr>
        <w:t>7</w:t>
      </w:r>
      <w:r w:rsidRPr="004E1820">
        <w:rPr>
          <w:rFonts w:eastAsia="Times New Roman"/>
          <w:b w:val="0"/>
          <w:bCs w:val="0"/>
          <w:sz w:val="28"/>
          <w:szCs w:val="22"/>
        </w:rPr>
        <w:t> %);</w:t>
      </w:r>
    </w:p>
    <w:p w14:paraId="7FD2EF99" w14:textId="36AB23C9" w:rsidR="00435D30" w:rsidRPr="00435D30" w:rsidRDefault="00A66E8D" w:rsidP="00B63FB4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35D30">
        <w:rPr>
          <w:rFonts w:eastAsia="Times New Roman"/>
          <w:b w:val="0"/>
          <w:bCs w:val="0"/>
          <w:sz w:val="28"/>
          <w:szCs w:val="22"/>
        </w:rPr>
        <w:t>имеют низкую ст</w:t>
      </w:r>
      <w:r w:rsidR="00237BF1" w:rsidRPr="00435D30">
        <w:rPr>
          <w:rFonts w:eastAsia="Times New Roman"/>
          <w:b w:val="0"/>
          <w:bCs w:val="0"/>
          <w:sz w:val="28"/>
          <w:szCs w:val="22"/>
        </w:rPr>
        <w:t xml:space="preserve">епень достижения (ниже 85%) – </w:t>
      </w:r>
      <w:r w:rsidR="00DD2C83" w:rsidRPr="00435D30">
        <w:rPr>
          <w:rFonts w:eastAsia="Times New Roman"/>
          <w:b w:val="0"/>
          <w:bCs w:val="0"/>
          <w:sz w:val="28"/>
          <w:szCs w:val="22"/>
        </w:rPr>
        <w:t>3</w:t>
      </w:r>
      <w:r w:rsidR="00435D30" w:rsidRPr="00435D30">
        <w:rPr>
          <w:rFonts w:eastAsia="Times New Roman"/>
          <w:b w:val="0"/>
          <w:bCs w:val="0"/>
          <w:sz w:val="28"/>
          <w:szCs w:val="22"/>
        </w:rPr>
        <w:t>2</w:t>
      </w:r>
      <w:r w:rsidR="00DD2C83" w:rsidRPr="00435D30">
        <w:rPr>
          <w:rFonts w:eastAsia="Times New Roman"/>
          <w:b w:val="0"/>
          <w:bCs w:val="0"/>
          <w:sz w:val="28"/>
          <w:szCs w:val="22"/>
        </w:rPr>
        <w:t xml:space="preserve"> (</w:t>
      </w:r>
      <w:r w:rsidR="00435D30" w:rsidRPr="00435D30">
        <w:rPr>
          <w:rFonts w:eastAsia="Times New Roman"/>
          <w:b w:val="0"/>
          <w:bCs w:val="0"/>
          <w:sz w:val="28"/>
          <w:szCs w:val="22"/>
        </w:rPr>
        <w:t>7</w:t>
      </w:r>
      <w:r w:rsidR="00237BF1" w:rsidRPr="00435D30">
        <w:rPr>
          <w:rFonts w:eastAsia="Times New Roman"/>
          <w:b w:val="0"/>
          <w:bCs w:val="0"/>
          <w:sz w:val="28"/>
          <w:szCs w:val="22"/>
        </w:rPr>
        <w:t>,7</w:t>
      </w:r>
      <w:r w:rsidRPr="00435D30">
        <w:rPr>
          <w:rFonts w:eastAsia="Times New Roman"/>
          <w:b w:val="0"/>
          <w:bCs w:val="0"/>
          <w:sz w:val="28"/>
          <w:szCs w:val="22"/>
        </w:rPr>
        <w:t> %).</w:t>
      </w:r>
    </w:p>
    <w:p w14:paraId="64C2C2A3" w14:textId="714AE777" w:rsidR="00237BF1" w:rsidRPr="004E1820" w:rsidRDefault="00237BF1" w:rsidP="00237BF1">
      <w:r w:rsidRPr="004E1820">
        <w:rPr>
          <w:b/>
        </w:rPr>
        <w:t>Средний уровень достижения показателей по всем государственным программам за 202</w:t>
      </w:r>
      <w:r w:rsidR="00435D30">
        <w:rPr>
          <w:b/>
        </w:rPr>
        <w:t>4 год составил 95</w:t>
      </w:r>
      <w:r w:rsidRPr="004E1820">
        <w:rPr>
          <w:b/>
        </w:rPr>
        <w:t>,</w:t>
      </w:r>
      <w:r w:rsidR="00435D30">
        <w:rPr>
          <w:b/>
        </w:rPr>
        <w:t>4</w:t>
      </w:r>
      <w:r w:rsidRPr="004E1820">
        <w:rPr>
          <w:b/>
        </w:rPr>
        <w:t xml:space="preserve"> % </w:t>
      </w:r>
      <w:r w:rsidR="00DD2C83">
        <w:t>(в 202</w:t>
      </w:r>
      <w:r w:rsidR="00435D30">
        <w:t>3</w:t>
      </w:r>
      <w:r w:rsidR="00DD2C83">
        <w:t xml:space="preserve"> году – 94</w:t>
      </w:r>
      <w:r w:rsidRPr="004E1820">
        <w:t>,</w:t>
      </w:r>
      <w:r w:rsidR="00435D30">
        <w:t>1</w:t>
      </w:r>
      <w:r w:rsidRPr="004E1820">
        <w:t xml:space="preserve"> %).</w:t>
      </w:r>
    </w:p>
    <w:p w14:paraId="1EB1E579" w14:textId="328372E9" w:rsidR="00237BF1" w:rsidRPr="004E1820" w:rsidRDefault="00237BF1" w:rsidP="00237BF1">
      <w:r w:rsidRPr="004E1820">
        <w:rPr>
          <w:b/>
        </w:rPr>
        <w:t>Средняя динам</w:t>
      </w:r>
      <w:r w:rsidR="00DD2C83">
        <w:rPr>
          <w:b/>
        </w:rPr>
        <w:t>ика значений показателей за 202</w:t>
      </w:r>
      <w:r w:rsidR="00435D30">
        <w:rPr>
          <w:b/>
        </w:rPr>
        <w:t>4</w:t>
      </w:r>
      <w:r w:rsidRPr="004E1820">
        <w:rPr>
          <w:b/>
        </w:rPr>
        <w:t xml:space="preserve"> год составила 10</w:t>
      </w:r>
      <w:r w:rsidR="00435D30">
        <w:rPr>
          <w:b/>
        </w:rPr>
        <w:t>0</w:t>
      </w:r>
      <w:r w:rsidRPr="004E1820">
        <w:rPr>
          <w:b/>
        </w:rPr>
        <w:t>,</w:t>
      </w:r>
      <w:r w:rsidR="00435D30">
        <w:rPr>
          <w:b/>
        </w:rPr>
        <w:t>5</w:t>
      </w:r>
      <w:r w:rsidRPr="004E1820">
        <w:rPr>
          <w:b/>
        </w:rPr>
        <w:t xml:space="preserve"> % </w:t>
      </w:r>
      <w:r w:rsidRPr="004E1820">
        <w:t>(202</w:t>
      </w:r>
      <w:r w:rsidR="00435D30">
        <w:t>3</w:t>
      </w:r>
      <w:r w:rsidRPr="004E1820">
        <w:t xml:space="preserve"> год – 10</w:t>
      </w:r>
      <w:r w:rsidR="00435D30">
        <w:t>2</w:t>
      </w:r>
      <w:r w:rsidRPr="004E1820">
        <w:t>,</w:t>
      </w:r>
      <w:r w:rsidR="00435D30">
        <w:t>4</w:t>
      </w:r>
      <w:r w:rsidRPr="004E1820">
        <w:t xml:space="preserve"> %).</w:t>
      </w:r>
    </w:p>
    <w:p w14:paraId="29BD08E8" w14:textId="515E143B" w:rsidR="005B5924" w:rsidRPr="004E1820" w:rsidRDefault="005B5924" w:rsidP="005B5924">
      <w:r w:rsidRPr="004E1820">
        <w:t xml:space="preserve">По причине отсутствия фактических значений на момент подготовки доклада по </w:t>
      </w:r>
      <w:r w:rsidR="00297EB1">
        <w:t>3</w:t>
      </w:r>
      <w:r w:rsidR="00435D30">
        <w:t>3</w:t>
      </w:r>
      <w:r w:rsidR="00297EB1">
        <w:t xml:space="preserve"> показателям</w:t>
      </w:r>
      <w:r w:rsidRPr="004E1820">
        <w:t xml:space="preserve"> указаны предварительные или оценочные данные (не участвуют в оценке).</w:t>
      </w:r>
    </w:p>
    <w:p w14:paraId="540B7DBA" w14:textId="434FFF49" w:rsidR="00025909" w:rsidRDefault="00025909" w:rsidP="005B5924">
      <w:r w:rsidRPr="00025909">
        <w:t xml:space="preserve">Основными причинами низкой или средней степени достижения ряда показателей государственных программ являются: изменение параметров, используемых в расчете показателей государственных программ, влияние на которые отсутствует или не значительно (внешние факторы); </w:t>
      </w:r>
      <w:r w:rsidR="00435D30" w:rsidRPr="00435D30">
        <w:t xml:space="preserve">невыполнение в установленные сроки соответствующих мероприятий </w:t>
      </w:r>
      <w:r w:rsidR="00435D30" w:rsidRPr="00025909">
        <w:t>или их перенос</w:t>
      </w:r>
      <w:r>
        <w:t>.</w:t>
      </w:r>
    </w:p>
    <w:p w14:paraId="57E3336B" w14:textId="2531CF92" w:rsidR="005B5924" w:rsidRDefault="005B5924" w:rsidP="005B5924">
      <w:r w:rsidRPr="004E1820">
        <w:t>Сведения о достижении значений показателей государственных программ Мурманской области за 202</w:t>
      </w:r>
      <w:r w:rsidR="00435D30">
        <w:t>4</w:t>
      </w:r>
      <w:r w:rsidRPr="004E1820">
        <w:t xml:space="preserve"> год приведены в приложении №1.</w:t>
      </w:r>
    </w:p>
    <w:p w14:paraId="6D5C37CA" w14:textId="77777777" w:rsidR="004247CC" w:rsidRDefault="004247CC" w:rsidP="005B5924"/>
    <w:p w14:paraId="42386A76" w14:textId="69D94603" w:rsidR="00272AD1" w:rsidRDefault="004247CC" w:rsidP="004247CC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060C4E1A" wp14:editId="334974E0">
            <wp:extent cx="6134100" cy="3314700"/>
            <wp:effectExtent l="0" t="0" r="0" b="0"/>
            <wp:docPr id="8" name="Диаграмма 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958FB80" w14:textId="77777777" w:rsidR="00272AD1" w:rsidRPr="004E1820" w:rsidRDefault="00272AD1" w:rsidP="00272AD1">
      <w:pPr>
        <w:ind w:firstLine="0"/>
        <w:jc w:val="center"/>
        <w:rPr>
          <w:sz w:val="24"/>
          <w:szCs w:val="28"/>
        </w:rPr>
      </w:pPr>
      <w:r w:rsidRPr="004E1820">
        <w:rPr>
          <w:sz w:val="24"/>
          <w:szCs w:val="28"/>
        </w:rPr>
        <w:t>Рисунок 1</w:t>
      </w:r>
    </w:p>
    <w:p w14:paraId="35B50DAE" w14:textId="77777777" w:rsidR="00272AD1" w:rsidRDefault="00272AD1" w:rsidP="005B5924"/>
    <w:p w14:paraId="7DDA9E2E" w14:textId="2E98DF50" w:rsidR="005B5924" w:rsidRDefault="00240DDF" w:rsidP="00240DDF">
      <w:r w:rsidRPr="004E1820">
        <w:t>В результате анализа динамики значений показателей по сравнению с 202</w:t>
      </w:r>
      <w:r w:rsidR="00960E7D">
        <w:t>3</w:t>
      </w:r>
      <w:r w:rsidRPr="004E1820">
        <w:t xml:space="preserve"> годом установлено, что только по </w:t>
      </w:r>
      <w:r w:rsidR="00960E7D">
        <w:t>113</w:t>
      </w:r>
      <w:r w:rsidRPr="004E1820">
        <w:t xml:space="preserve"> показател</w:t>
      </w:r>
      <w:r w:rsidR="00960E7D">
        <w:t>ям</w:t>
      </w:r>
      <w:r w:rsidRPr="004E1820">
        <w:t xml:space="preserve"> отмечается улучшение значений (</w:t>
      </w:r>
      <w:r w:rsidR="00946242">
        <w:t>4</w:t>
      </w:r>
      <w:r w:rsidR="00960E7D">
        <w:t>5,9</w:t>
      </w:r>
      <w:r w:rsidR="00946242">
        <w:t> % из 24</w:t>
      </w:r>
      <w:r w:rsidR="00960E7D">
        <w:t>6</w:t>
      </w:r>
      <w:r w:rsidRPr="004E1820">
        <w:t xml:space="preserve"> показателей, по которым оценивается</w:t>
      </w:r>
      <w:r w:rsidR="00946242">
        <w:t xml:space="preserve"> динамика), у 71</w:t>
      </w:r>
      <w:r w:rsidRPr="004E1820">
        <w:t> </w:t>
      </w:r>
      <w:r w:rsidR="00946242">
        <w:t>показателя (2</w:t>
      </w:r>
      <w:r w:rsidR="00F93DD6">
        <w:t>8,9</w:t>
      </w:r>
      <w:r w:rsidRPr="004E1820">
        <w:t> %) значения сохранились на уровне 202</w:t>
      </w:r>
      <w:r w:rsidR="00F93DD6">
        <w:t>3</w:t>
      </w:r>
      <w:r w:rsidRPr="004E1820">
        <w:t xml:space="preserve"> года (в диапаз</w:t>
      </w:r>
      <w:r w:rsidR="00F93DD6">
        <w:t>оне от 99 до 101%), по 62 показателям (25</w:t>
      </w:r>
      <w:r w:rsidRPr="004E1820">
        <w:t>,</w:t>
      </w:r>
      <w:r w:rsidR="00F93DD6">
        <w:t>2</w:t>
      </w:r>
      <w:r w:rsidRPr="004E1820">
        <w:t> %) значения ухудшились (рисунок 2).</w:t>
      </w:r>
    </w:p>
    <w:p w14:paraId="46F33FF9" w14:textId="77777777" w:rsidR="00272AD1" w:rsidRDefault="00272AD1" w:rsidP="00240DDF"/>
    <w:p w14:paraId="7CEA17A2" w14:textId="4349145B" w:rsidR="00272AD1" w:rsidRDefault="009F1446" w:rsidP="009F1446">
      <w:pPr>
        <w:ind w:firstLine="0"/>
        <w:jc w:val="center"/>
      </w:pPr>
      <w:r>
        <w:rPr>
          <w:noProof/>
        </w:rPr>
        <w:drawing>
          <wp:inline distT="0" distB="0" distL="0" distR="0" wp14:anchorId="4116224B" wp14:editId="022CE015">
            <wp:extent cx="6048375" cy="3219450"/>
            <wp:effectExtent l="0" t="0" r="0" b="0"/>
            <wp:docPr id="9" name="Диаграмма 9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B999C6F" w14:textId="77777777" w:rsidR="00272AD1" w:rsidRPr="004E1820" w:rsidRDefault="00272AD1" w:rsidP="00272AD1">
      <w:pPr>
        <w:ind w:firstLine="0"/>
        <w:jc w:val="center"/>
        <w:rPr>
          <w:sz w:val="24"/>
          <w:szCs w:val="28"/>
        </w:rPr>
      </w:pPr>
      <w:r w:rsidRPr="004E1820">
        <w:rPr>
          <w:sz w:val="24"/>
          <w:szCs w:val="28"/>
        </w:rPr>
        <w:t>Рисунок 2</w:t>
      </w:r>
    </w:p>
    <w:p w14:paraId="0F132E76" w14:textId="77777777" w:rsidR="002C0B9B" w:rsidRPr="004E1820" w:rsidRDefault="002C0B9B" w:rsidP="00132F79">
      <w:pPr>
        <w:pageBreakBefore/>
        <w:rPr>
          <w:b/>
        </w:rPr>
      </w:pPr>
      <w:r w:rsidRPr="004E1820">
        <w:rPr>
          <w:b/>
        </w:rPr>
        <w:lastRenderedPageBreak/>
        <w:t>2. Реализация мероприятий</w:t>
      </w:r>
    </w:p>
    <w:p w14:paraId="6DEA1A10" w14:textId="1CD18CED" w:rsidR="002C0B9B" w:rsidRPr="00C45353" w:rsidRDefault="002C0B9B" w:rsidP="002C0B9B">
      <w:pPr>
        <w:rPr>
          <w:szCs w:val="28"/>
        </w:rPr>
      </w:pPr>
      <w:r w:rsidRPr="00C45353">
        <w:rPr>
          <w:szCs w:val="28"/>
        </w:rPr>
        <w:t>По всем государственным программам в 202</w:t>
      </w:r>
      <w:r w:rsidR="006661AB" w:rsidRPr="00C45353">
        <w:rPr>
          <w:szCs w:val="28"/>
        </w:rPr>
        <w:t>4</w:t>
      </w:r>
      <w:r w:rsidRPr="00C45353">
        <w:rPr>
          <w:szCs w:val="28"/>
        </w:rPr>
        <w:t xml:space="preserve"> году планировалось выполнить </w:t>
      </w:r>
      <w:r w:rsidR="0000568A" w:rsidRPr="00C45353">
        <w:rPr>
          <w:szCs w:val="28"/>
        </w:rPr>
        <w:t>1</w:t>
      </w:r>
      <w:r w:rsidR="00526B81" w:rsidRPr="00C45353">
        <w:rPr>
          <w:szCs w:val="28"/>
        </w:rPr>
        <w:t>0</w:t>
      </w:r>
      <w:r w:rsidR="006661AB" w:rsidRPr="00C45353">
        <w:rPr>
          <w:szCs w:val="28"/>
        </w:rPr>
        <w:t>4</w:t>
      </w:r>
      <w:r w:rsidR="00526B81" w:rsidRPr="00C45353">
        <w:rPr>
          <w:szCs w:val="28"/>
        </w:rPr>
        <w:t>0</w:t>
      </w:r>
      <w:r w:rsidRPr="00C45353">
        <w:rPr>
          <w:szCs w:val="28"/>
        </w:rPr>
        <w:t xml:space="preserve"> мероприяти</w:t>
      </w:r>
      <w:r w:rsidR="0000568A" w:rsidRPr="00C45353">
        <w:rPr>
          <w:szCs w:val="28"/>
        </w:rPr>
        <w:t>й</w:t>
      </w:r>
      <w:r w:rsidRPr="00C45353">
        <w:rPr>
          <w:szCs w:val="28"/>
        </w:rPr>
        <w:t xml:space="preserve">, из них в полном объеме выполнено </w:t>
      </w:r>
      <w:r w:rsidR="0000568A" w:rsidRPr="00C45353">
        <w:rPr>
          <w:szCs w:val="28"/>
        </w:rPr>
        <w:t>8</w:t>
      </w:r>
      <w:r w:rsidR="006661AB" w:rsidRPr="00C45353">
        <w:rPr>
          <w:szCs w:val="28"/>
        </w:rPr>
        <w:t>63</w:t>
      </w:r>
      <w:r w:rsidR="005B5924" w:rsidRPr="00C45353">
        <w:rPr>
          <w:szCs w:val="28"/>
        </w:rPr>
        <w:t xml:space="preserve"> </w:t>
      </w:r>
      <w:r w:rsidRPr="00C45353">
        <w:rPr>
          <w:szCs w:val="28"/>
        </w:rPr>
        <w:t>мероприяти</w:t>
      </w:r>
      <w:r w:rsidR="00C45353">
        <w:rPr>
          <w:szCs w:val="28"/>
        </w:rPr>
        <w:t>я</w:t>
      </w:r>
      <w:r w:rsidRPr="00C45353">
        <w:rPr>
          <w:szCs w:val="28"/>
        </w:rPr>
        <w:t xml:space="preserve"> (</w:t>
      </w:r>
      <w:r w:rsidR="00526B81" w:rsidRPr="00C45353">
        <w:rPr>
          <w:szCs w:val="28"/>
        </w:rPr>
        <w:t>8</w:t>
      </w:r>
      <w:r w:rsidR="00C45353">
        <w:rPr>
          <w:szCs w:val="28"/>
        </w:rPr>
        <w:t>3,0</w:t>
      </w:r>
      <w:r w:rsidR="009B1872" w:rsidRPr="00C45353">
        <w:rPr>
          <w:szCs w:val="28"/>
        </w:rPr>
        <w:t> </w:t>
      </w:r>
      <w:r w:rsidRPr="00C45353">
        <w:rPr>
          <w:szCs w:val="28"/>
        </w:rPr>
        <w:t xml:space="preserve">%), частично – </w:t>
      </w:r>
      <w:r w:rsidR="006661AB" w:rsidRPr="00C45353">
        <w:rPr>
          <w:szCs w:val="28"/>
        </w:rPr>
        <w:t>133</w:t>
      </w:r>
      <w:r w:rsidRPr="00C45353">
        <w:rPr>
          <w:szCs w:val="28"/>
        </w:rPr>
        <w:t xml:space="preserve"> (</w:t>
      </w:r>
      <w:r w:rsidR="006661AB" w:rsidRPr="00C45353">
        <w:rPr>
          <w:szCs w:val="28"/>
        </w:rPr>
        <w:t>1</w:t>
      </w:r>
      <w:r w:rsidR="00C45353">
        <w:rPr>
          <w:szCs w:val="28"/>
        </w:rPr>
        <w:t>2,8</w:t>
      </w:r>
      <w:r w:rsidR="009B1872" w:rsidRPr="00C45353">
        <w:rPr>
          <w:szCs w:val="28"/>
        </w:rPr>
        <w:t> </w:t>
      </w:r>
      <w:r w:rsidRPr="00C45353">
        <w:rPr>
          <w:szCs w:val="28"/>
        </w:rPr>
        <w:t xml:space="preserve">%), не выполнено – </w:t>
      </w:r>
      <w:r w:rsidR="006661AB" w:rsidRPr="00C45353">
        <w:rPr>
          <w:szCs w:val="28"/>
        </w:rPr>
        <w:t>44</w:t>
      </w:r>
      <w:r w:rsidRPr="00C45353">
        <w:rPr>
          <w:szCs w:val="28"/>
        </w:rPr>
        <w:t xml:space="preserve"> (</w:t>
      </w:r>
      <w:r w:rsidR="00E36C8F" w:rsidRPr="00C45353">
        <w:rPr>
          <w:szCs w:val="28"/>
        </w:rPr>
        <w:t>4</w:t>
      </w:r>
      <w:r w:rsidR="00C45353">
        <w:rPr>
          <w:szCs w:val="28"/>
        </w:rPr>
        <w:t>,2</w:t>
      </w:r>
      <w:r w:rsidR="009B1872" w:rsidRPr="00C45353">
        <w:rPr>
          <w:szCs w:val="28"/>
        </w:rPr>
        <w:t> </w:t>
      </w:r>
      <w:r w:rsidRPr="00C45353">
        <w:rPr>
          <w:szCs w:val="28"/>
        </w:rPr>
        <w:t>%).</w:t>
      </w:r>
    </w:p>
    <w:p w14:paraId="140562AC" w14:textId="4ACDCFD2" w:rsidR="008A273D" w:rsidRPr="004E1820" w:rsidRDefault="00BB4B16" w:rsidP="008A273D">
      <w:r w:rsidRPr="00C45353">
        <w:rPr>
          <w:b/>
        </w:rPr>
        <w:t>Средняя степень выполнения мероприятий за 202</w:t>
      </w:r>
      <w:r w:rsidR="004049AD" w:rsidRPr="00C45353">
        <w:rPr>
          <w:b/>
        </w:rPr>
        <w:t>4</w:t>
      </w:r>
      <w:r w:rsidRPr="00C45353">
        <w:rPr>
          <w:b/>
        </w:rPr>
        <w:t xml:space="preserve"> год составила 8</w:t>
      </w:r>
      <w:r w:rsidR="004049AD" w:rsidRPr="00C45353">
        <w:rPr>
          <w:b/>
        </w:rPr>
        <w:t>9,4</w:t>
      </w:r>
      <w:r w:rsidRPr="00C45353">
        <w:rPr>
          <w:b/>
        </w:rPr>
        <w:t xml:space="preserve"> % </w:t>
      </w:r>
      <w:r w:rsidRPr="00C45353">
        <w:t>(202</w:t>
      </w:r>
      <w:r w:rsidR="00C45353">
        <w:t>3</w:t>
      </w:r>
      <w:r w:rsidRPr="00C45353">
        <w:t xml:space="preserve"> год –</w:t>
      </w:r>
      <w:r w:rsidR="00B54514" w:rsidRPr="00C45353">
        <w:t xml:space="preserve"> </w:t>
      </w:r>
      <w:r w:rsidR="00C45353">
        <w:t>87</w:t>
      </w:r>
      <w:r w:rsidR="0000568A" w:rsidRPr="00C45353">
        <w:t>,</w:t>
      </w:r>
      <w:r w:rsidR="00C45353">
        <w:t>7</w:t>
      </w:r>
      <w:r w:rsidR="0000568A" w:rsidRPr="00C45353">
        <w:t xml:space="preserve"> %</w:t>
      </w:r>
      <w:r w:rsidRPr="00C45353">
        <w:t>).</w:t>
      </w:r>
    </w:p>
    <w:p w14:paraId="40962587" w14:textId="77777777" w:rsidR="00C5767C" w:rsidRDefault="00C5767C" w:rsidP="002C0B9B">
      <w:pPr>
        <w:rPr>
          <w:szCs w:val="28"/>
        </w:rPr>
      </w:pPr>
    </w:p>
    <w:p w14:paraId="5B2A89DA" w14:textId="77777777" w:rsidR="00C5767C" w:rsidRDefault="00C5767C" w:rsidP="00C5767C">
      <w:pPr>
        <w:ind w:firstLine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7BB194E8" wp14:editId="6832236A">
            <wp:extent cx="6076950" cy="309562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9F759EC" w14:textId="77777777" w:rsidR="00C5767C" w:rsidRPr="004E1820" w:rsidRDefault="00C5767C" w:rsidP="00C5767C">
      <w:pPr>
        <w:ind w:firstLine="0"/>
        <w:jc w:val="center"/>
        <w:rPr>
          <w:sz w:val="24"/>
          <w:szCs w:val="28"/>
        </w:rPr>
      </w:pPr>
      <w:r w:rsidRPr="004E1820">
        <w:rPr>
          <w:sz w:val="24"/>
          <w:szCs w:val="28"/>
        </w:rPr>
        <w:t xml:space="preserve">Рисунок </w:t>
      </w:r>
      <w:r>
        <w:rPr>
          <w:sz w:val="24"/>
          <w:szCs w:val="28"/>
        </w:rPr>
        <w:t>3</w:t>
      </w:r>
    </w:p>
    <w:p w14:paraId="71417186" w14:textId="77777777" w:rsidR="00C5767C" w:rsidRDefault="00C5767C" w:rsidP="002C0B9B">
      <w:pPr>
        <w:rPr>
          <w:szCs w:val="28"/>
        </w:rPr>
      </w:pPr>
    </w:p>
    <w:p w14:paraId="76AD03C2" w14:textId="77777777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Основными причинами выполнения мероприятий не в полном объеме и (или) с нарушением плановых сроков являются:</w:t>
      </w:r>
    </w:p>
    <w:p w14:paraId="5CD69937" w14:textId="77777777" w:rsidR="00AA1ACE" w:rsidRPr="00F3328B" w:rsidRDefault="00AA1ACE" w:rsidP="00F3328B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заявительный характер мероприятий по предоставлению государственных услуг и мер социальной поддержки населению;</w:t>
      </w:r>
    </w:p>
    <w:p w14:paraId="2FC0CD44" w14:textId="77777777" w:rsidR="002C0B9B" w:rsidRPr="004E1820" w:rsidRDefault="002C0B9B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удорожание мероприятий, недостаточность</w:t>
      </w:r>
      <w:r w:rsidR="005B5924" w:rsidRPr="004E1820">
        <w:rPr>
          <w:rFonts w:eastAsia="Times New Roman"/>
          <w:b w:val="0"/>
          <w:bCs w:val="0"/>
          <w:sz w:val="28"/>
          <w:szCs w:val="22"/>
        </w:rPr>
        <w:t xml:space="preserve"> </w:t>
      </w:r>
      <w:r w:rsidRPr="004E1820">
        <w:rPr>
          <w:rFonts w:eastAsia="Times New Roman"/>
          <w:b w:val="0"/>
          <w:bCs w:val="0"/>
          <w:sz w:val="28"/>
          <w:szCs w:val="22"/>
        </w:rPr>
        <w:t>или позднее поступление финансирования;</w:t>
      </w:r>
    </w:p>
    <w:p w14:paraId="30B3579C" w14:textId="77777777" w:rsidR="00CC7E46" w:rsidRDefault="002C0B9B" w:rsidP="00CC7E46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E1820">
        <w:rPr>
          <w:rFonts w:eastAsia="Times New Roman"/>
          <w:b w:val="0"/>
          <w:bCs w:val="0"/>
          <w:sz w:val="28"/>
          <w:szCs w:val="22"/>
        </w:rPr>
        <w:t>внешние факторы, на которые невозможно оказать влияние в рамках государственных программ</w:t>
      </w:r>
      <w:r w:rsidR="00CC7E46">
        <w:rPr>
          <w:rFonts w:eastAsia="Times New Roman"/>
          <w:b w:val="0"/>
          <w:bCs w:val="0"/>
          <w:sz w:val="28"/>
          <w:szCs w:val="22"/>
        </w:rPr>
        <w:t>;</w:t>
      </w:r>
    </w:p>
    <w:p w14:paraId="29B3F387" w14:textId="736ABC58" w:rsidR="00CC7E46" w:rsidRPr="00CC7E46" w:rsidRDefault="00CC7E46" w:rsidP="00CC7E46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CC7E46">
        <w:rPr>
          <w:rFonts w:eastAsia="Times New Roman"/>
          <w:b w:val="0"/>
          <w:bCs w:val="0"/>
          <w:sz w:val="28"/>
          <w:szCs w:val="22"/>
        </w:rPr>
        <w:t>позднее заключение контрактов на поставку товаров, выполнение работ, оказание услуг</w:t>
      </w:r>
      <w:r>
        <w:rPr>
          <w:rFonts w:eastAsia="Times New Roman"/>
          <w:b w:val="0"/>
          <w:bCs w:val="0"/>
          <w:sz w:val="28"/>
          <w:szCs w:val="22"/>
        </w:rPr>
        <w:t xml:space="preserve"> (отсутствие заявок на участие закупок)</w:t>
      </w:r>
      <w:r w:rsidRPr="00CC7E46">
        <w:rPr>
          <w:rFonts w:eastAsia="Times New Roman"/>
          <w:b w:val="0"/>
          <w:bCs w:val="0"/>
          <w:sz w:val="28"/>
          <w:szCs w:val="22"/>
        </w:rPr>
        <w:t>.</w:t>
      </w:r>
    </w:p>
    <w:p w14:paraId="237A626A" w14:textId="0311BB2F" w:rsidR="002C0B9B" w:rsidRPr="004E1820" w:rsidRDefault="002C0B9B" w:rsidP="002C0B9B">
      <w:pPr>
        <w:rPr>
          <w:szCs w:val="28"/>
        </w:rPr>
      </w:pPr>
      <w:r w:rsidRPr="004E1820">
        <w:rPr>
          <w:szCs w:val="28"/>
        </w:rPr>
        <w:t>Сведения о ходе исполнения мероприятий государственных программ за 202</w:t>
      </w:r>
      <w:r w:rsidR="00CC7E46">
        <w:rPr>
          <w:szCs w:val="28"/>
        </w:rPr>
        <w:t>4</w:t>
      </w:r>
      <w:r w:rsidR="005B5924" w:rsidRPr="004E1820">
        <w:rPr>
          <w:szCs w:val="28"/>
        </w:rPr>
        <w:t xml:space="preserve"> </w:t>
      </w:r>
      <w:r w:rsidRPr="004E1820">
        <w:rPr>
          <w:szCs w:val="28"/>
        </w:rPr>
        <w:t>год представлены в разрезе подпрограмм в приложении № 2.</w:t>
      </w:r>
    </w:p>
    <w:p w14:paraId="291E5380" w14:textId="77777777" w:rsidR="002C0B9B" w:rsidRPr="004E1820" w:rsidRDefault="002C0B9B" w:rsidP="002C0B9B">
      <w:pPr>
        <w:ind w:firstLine="851"/>
        <w:rPr>
          <w:bCs/>
          <w:szCs w:val="28"/>
        </w:rPr>
      </w:pPr>
    </w:p>
    <w:p w14:paraId="0B762AEC" w14:textId="77777777" w:rsidR="002C0B9B" w:rsidRPr="004E1820" w:rsidRDefault="002C0B9B" w:rsidP="002C0B9B">
      <w:pPr>
        <w:ind w:firstLine="851"/>
        <w:rPr>
          <w:b/>
          <w:bCs/>
          <w:szCs w:val="28"/>
        </w:rPr>
      </w:pPr>
      <w:r w:rsidRPr="004E1820">
        <w:rPr>
          <w:b/>
          <w:bCs/>
          <w:szCs w:val="28"/>
        </w:rPr>
        <w:t>3. Объекты капитального строительства</w:t>
      </w:r>
    </w:p>
    <w:p w14:paraId="44EE8203" w14:textId="77777777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t xml:space="preserve">По состоянию на конец 2024 года в рамках 8 государственных программ предусматривались строительные и проектно-изыскательские работы на 90 объектах с финансированием в объеме 11 974,5 млн рублей (приложение № 3). </w:t>
      </w:r>
    </w:p>
    <w:p w14:paraId="0CFE7B78" w14:textId="77777777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t>Всего за счет средств 2024 года фактически выполнено и принято в установленном порядке работ на сумму 7 585 млн рублей (63,3 %). В 2023 году 5 872,0 (66,3 %) – соответственно.</w:t>
      </w:r>
    </w:p>
    <w:p w14:paraId="19D35DEC" w14:textId="0460D350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lastRenderedPageBreak/>
        <w:t>За счет средств областного бюджета выполнены работы на сумму 4 426,6</w:t>
      </w:r>
      <w:r>
        <w:rPr>
          <w:szCs w:val="28"/>
        </w:rPr>
        <w:t> </w:t>
      </w:r>
      <w:r w:rsidRPr="0004481F">
        <w:rPr>
          <w:szCs w:val="28"/>
        </w:rPr>
        <w:t>млн рублей из запланированных 7 051,6 млн рублей (в 2023 году – 3 802,9</w:t>
      </w:r>
      <w:r>
        <w:rPr>
          <w:szCs w:val="28"/>
        </w:rPr>
        <w:t> </w:t>
      </w:r>
      <w:r w:rsidRPr="0004481F">
        <w:rPr>
          <w:szCs w:val="28"/>
        </w:rPr>
        <w:t xml:space="preserve">млн рублей из 5 753,5 млн рублей). </w:t>
      </w:r>
    </w:p>
    <w:p w14:paraId="5CC6EA78" w14:textId="11974A5B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t>Объем выполненных работ за счет ассигнований из федерального бюджета составил 2 898,5 млн рублей при плане 3 336,2 млн рублей (в 2023 году – 1</w:t>
      </w:r>
      <w:r>
        <w:rPr>
          <w:szCs w:val="28"/>
        </w:rPr>
        <w:t> </w:t>
      </w:r>
      <w:r w:rsidRPr="0004481F">
        <w:rPr>
          <w:szCs w:val="28"/>
        </w:rPr>
        <w:t xml:space="preserve">566,2 млн при плане 2 258,6 млн рублей). </w:t>
      </w:r>
    </w:p>
    <w:p w14:paraId="561DDF39" w14:textId="77777777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t>За счет средств местных бюджетов выполнено работ на сумму 421,5 млн рублей из 879,5 млн рублей запланированных (в 2023 году – 497,8 млн из 524,2 млн рублей).</w:t>
      </w:r>
    </w:p>
    <w:p w14:paraId="5309818C" w14:textId="12D65D79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t>Значительная часть средств израсходована на реализацию мероприятий в рамках государственной программы Мурманской области «Комфортное жилье и городская среда» – 41,8 % (4 432,4 млн рублей) от общего объема кассовых расходов.</w:t>
      </w:r>
    </w:p>
    <w:p w14:paraId="2EBBAAA8" w14:textId="44CC9DAF" w:rsidR="0004481F" w:rsidRPr="0004481F" w:rsidRDefault="0004481F" w:rsidP="0004481F">
      <w:pPr>
        <w:rPr>
          <w:bCs/>
          <w:szCs w:val="28"/>
        </w:rPr>
      </w:pPr>
      <w:r w:rsidRPr="0004481F">
        <w:rPr>
          <w:bCs/>
          <w:szCs w:val="28"/>
        </w:rPr>
        <w:t>На ряде объектов продолжались работы за счет средств, не освоенных в предыдущие годы (выполнение составило 1</w:t>
      </w:r>
      <w:r>
        <w:rPr>
          <w:bCs/>
          <w:szCs w:val="28"/>
        </w:rPr>
        <w:t xml:space="preserve"> </w:t>
      </w:r>
      <w:r w:rsidRPr="0004481F">
        <w:rPr>
          <w:bCs/>
          <w:szCs w:val="28"/>
        </w:rPr>
        <w:t>005,0 млн рублей).</w:t>
      </w:r>
    </w:p>
    <w:p w14:paraId="78C24B92" w14:textId="77777777" w:rsidR="0004481F" w:rsidRDefault="0004481F" w:rsidP="0004481F">
      <w:pPr>
        <w:rPr>
          <w:szCs w:val="28"/>
        </w:rPr>
      </w:pPr>
      <w:r w:rsidRPr="0004481F">
        <w:rPr>
          <w:szCs w:val="28"/>
        </w:rPr>
        <w:t xml:space="preserve">Всего в 2024 году завершены работы на 14 объектах, в том числе по реконструкции водопроводной насосной станции с установкой комплекса оборудования очистки воды на объекте: «Станция водоподготовки на ВНС-1 озеро Большое </w:t>
      </w:r>
      <w:proofErr w:type="spellStart"/>
      <w:r w:rsidRPr="0004481F">
        <w:rPr>
          <w:szCs w:val="28"/>
        </w:rPr>
        <w:t>Грязненское</w:t>
      </w:r>
      <w:proofErr w:type="spellEnd"/>
      <w:r w:rsidRPr="0004481F">
        <w:rPr>
          <w:szCs w:val="28"/>
        </w:rPr>
        <w:t xml:space="preserve">» и здания государственного областного </w:t>
      </w:r>
      <w:r>
        <w:rPr>
          <w:szCs w:val="28"/>
        </w:rPr>
        <w:t>бюджетного учреждения культуры «</w:t>
      </w:r>
      <w:r w:rsidRPr="0004481F">
        <w:rPr>
          <w:szCs w:val="28"/>
        </w:rPr>
        <w:t>Мурманский областной краеведческий музей</w:t>
      </w:r>
      <w:r>
        <w:rPr>
          <w:szCs w:val="28"/>
        </w:rPr>
        <w:t>»</w:t>
      </w:r>
      <w:r w:rsidRPr="0004481F">
        <w:rPr>
          <w:szCs w:val="28"/>
        </w:rPr>
        <w:t>. Также завершены</w:t>
      </w:r>
      <w:r>
        <w:rPr>
          <w:szCs w:val="28"/>
        </w:rPr>
        <w:t xml:space="preserve"> работы по строительству домов:</w:t>
      </w:r>
    </w:p>
    <w:p w14:paraId="4EF06741" w14:textId="77777777" w:rsidR="0004481F" w:rsidRDefault="0004481F" w:rsidP="0004481F">
      <w:pPr>
        <w:rPr>
          <w:szCs w:val="28"/>
        </w:rPr>
      </w:pPr>
      <w:r>
        <w:rPr>
          <w:szCs w:val="28"/>
        </w:rPr>
        <w:t xml:space="preserve">– </w:t>
      </w:r>
      <w:r w:rsidRPr="0004481F">
        <w:rPr>
          <w:szCs w:val="28"/>
        </w:rPr>
        <w:t xml:space="preserve">100-квартирный дом в г. </w:t>
      </w:r>
      <w:proofErr w:type="spellStart"/>
      <w:r w:rsidRPr="0004481F">
        <w:rPr>
          <w:szCs w:val="28"/>
        </w:rPr>
        <w:t>Гаджиево</w:t>
      </w:r>
      <w:proofErr w:type="spellEnd"/>
      <w:r w:rsidRPr="0004481F">
        <w:rPr>
          <w:szCs w:val="28"/>
        </w:rPr>
        <w:t>, ул. Гаджи</w:t>
      </w:r>
      <w:r>
        <w:rPr>
          <w:szCs w:val="28"/>
        </w:rPr>
        <w:t>ева (для семей военнослужащих);</w:t>
      </w:r>
    </w:p>
    <w:p w14:paraId="262D5A77" w14:textId="7B6C2C41" w:rsidR="0004481F" w:rsidRDefault="0004481F" w:rsidP="0004481F">
      <w:pPr>
        <w:rPr>
          <w:bCs/>
          <w:szCs w:val="28"/>
        </w:rPr>
      </w:pPr>
      <w:r>
        <w:rPr>
          <w:szCs w:val="28"/>
        </w:rPr>
        <w:t>–</w:t>
      </w:r>
      <w:r>
        <w:rPr>
          <w:szCs w:val="28"/>
        </w:rPr>
        <w:t xml:space="preserve"> </w:t>
      </w:r>
      <w:r w:rsidRPr="0004481F">
        <w:rPr>
          <w:szCs w:val="28"/>
        </w:rPr>
        <w:t xml:space="preserve">20-квартирный жилой дом </w:t>
      </w:r>
      <w:proofErr w:type="spellStart"/>
      <w:r w:rsidRPr="0004481F">
        <w:rPr>
          <w:szCs w:val="28"/>
        </w:rPr>
        <w:t>г.п</w:t>
      </w:r>
      <w:proofErr w:type="spellEnd"/>
      <w:r w:rsidRPr="0004481F">
        <w:rPr>
          <w:szCs w:val="28"/>
        </w:rPr>
        <w:t>. Умба по ул. Комсомольская;</w:t>
      </w:r>
    </w:p>
    <w:p w14:paraId="3CD154A7" w14:textId="67CDFC5D" w:rsidR="0004481F" w:rsidRDefault="0004481F" w:rsidP="0004481F">
      <w:pPr>
        <w:rPr>
          <w:bCs/>
          <w:szCs w:val="28"/>
        </w:rPr>
      </w:pPr>
      <w:r>
        <w:rPr>
          <w:szCs w:val="28"/>
        </w:rPr>
        <w:t>–</w:t>
      </w:r>
      <w:r>
        <w:rPr>
          <w:szCs w:val="28"/>
        </w:rPr>
        <w:t xml:space="preserve"> </w:t>
      </w:r>
      <w:r w:rsidRPr="0004481F">
        <w:rPr>
          <w:szCs w:val="28"/>
        </w:rPr>
        <w:t>32-квартирный жилой дом в г. Мурманске по ул. Бондарной;</w:t>
      </w:r>
    </w:p>
    <w:p w14:paraId="38C9B0E0" w14:textId="0A33F67C" w:rsidR="0004481F" w:rsidRDefault="0004481F" w:rsidP="0004481F">
      <w:pPr>
        <w:rPr>
          <w:bCs/>
          <w:szCs w:val="28"/>
        </w:rPr>
      </w:pPr>
      <w:r>
        <w:rPr>
          <w:szCs w:val="28"/>
        </w:rPr>
        <w:t>–</w:t>
      </w:r>
      <w:r>
        <w:rPr>
          <w:szCs w:val="28"/>
        </w:rPr>
        <w:t xml:space="preserve"> </w:t>
      </w:r>
      <w:r w:rsidRPr="0004481F">
        <w:rPr>
          <w:szCs w:val="28"/>
        </w:rPr>
        <w:t>128-квартирный жилой дом в г. Мурманске по ул. Успенского;</w:t>
      </w:r>
    </w:p>
    <w:p w14:paraId="0435946A" w14:textId="02DA7CE4" w:rsidR="0004481F" w:rsidRPr="0004481F" w:rsidRDefault="0004481F" w:rsidP="0004481F">
      <w:pPr>
        <w:rPr>
          <w:bCs/>
          <w:szCs w:val="28"/>
        </w:rPr>
      </w:pPr>
      <w:r>
        <w:rPr>
          <w:szCs w:val="28"/>
        </w:rPr>
        <w:t>–</w:t>
      </w:r>
      <w:r>
        <w:rPr>
          <w:szCs w:val="28"/>
        </w:rPr>
        <w:t xml:space="preserve"> </w:t>
      </w:r>
      <w:r w:rsidRPr="0004481F">
        <w:rPr>
          <w:szCs w:val="28"/>
        </w:rPr>
        <w:t>61-квартирн</w:t>
      </w:r>
      <w:r>
        <w:rPr>
          <w:szCs w:val="28"/>
        </w:rPr>
        <w:t xml:space="preserve">ый жилой дом в г. Мурманске по </w:t>
      </w:r>
      <w:r w:rsidRPr="0004481F">
        <w:rPr>
          <w:szCs w:val="28"/>
        </w:rPr>
        <w:t xml:space="preserve">ул. Павлова. </w:t>
      </w:r>
    </w:p>
    <w:p w14:paraId="168B56B1" w14:textId="77777777" w:rsidR="0004481F" w:rsidRPr="0004481F" w:rsidRDefault="0004481F" w:rsidP="0004481F">
      <w:pPr>
        <w:rPr>
          <w:szCs w:val="28"/>
        </w:rPr>
      </w:pPr>
      <w:r w:rsidRPr="0004481F">
        <w:rPr>
          <w:szCs w:val="28"/>
        </w:rPr>
        <w:t xml:space="preserve">По некоторым объектам </w:t>
      </w:r>
      <w:r w:rsidRPr="0004481F">
        <w:rPr>
          <w:bCs/>
          <w:szCs w:val="28"/>
        </w:rPr>
        <w:t>работы осуществлялись с отставанием от графика.  Основными причинами отставания от графика и приостановки работ являлись: невыполнение подрядными организациями взятых на себя обязательств и выявление необходимости проведения дополнительных работ в ходе строительства объектов.</w:t>
      </w:r>
    </w:p>
    <w:p w14:paraId="650931CA" w14:textId="12F5ED4E" w:rsidR="00FB0F10" w:rsidRPr="004E1820" w:rsidRDefault="00FB0F10" w:rsidP="00FB0F10">
      <w:pPr>
        <w:tabs>
          <w:tab w:val="left" w:pos="1134"/>
        </w:tabs>
        <w:ind w:left="142" w:firstLine="0"/>
        <w:rPr>
          <w:szCs w:val="28"/>
        </w:rPr>
      </w:pPr>
    </w:p>
    <w:p w14:paraId="11F3DC60" w14:textId="77777777" w:rsidR="002C0B9B" w:rsidRPr="007C1951" w:rsidRDefault="002C0B9B" w:rsidP="002C0B9B">
      <w:pPr>
        <w:rPr>
          <w:b/>
          <w:szCs w:val="28"/>
        </w:rPr>
      </w:pPr>
      <w:bookmarkStart w:id="0" w:name="_GoBack"/>
      <w:bookmarkEnd w:id="0"/>
      <w:r w:rsidRPr="007C1951">
        <w:rPr>
          <w:b/>
          <w:szCs w:val="28"/>
        </w:rPr>
        <w:t>4. Финансирование</w:t>
      </w:r>
    </w:p>
    <w:p w14:paraId="535A07E5" w14:textId="479DCFF5" w:rsidR="007071A1" w:rsidRPr="007C1951" w:rsidRDefault="007071A1" w:rsidP="007071A1">
      <w:pPr>
        <w:rPr>
          <w:szCs w:val="28"/>
        </w:rPr>
      </w:pPr>
      <w:r w:rsidRPr="007C1951">
        <w:rPr>
          <w:szCs w:val="28"/>
        </w:rPr>
        <w:t>По состоянию на конец 202</w:t>
      </w:r>
      <w:r w:rsidR="004049AD" w:rsidRPr="007C1951">
        <w:rPr>
          <w:szCs w:val="28"/>
        </w:rPr>
        <w:t>4</w:t>
      </w:r>
      <w:r w:rsidRPr="007C1951">
        <w:rPr>
          <w:szCs w:val="28"/>
        </w:rPr>
        <w:t xml:space="preserve"> года общий объем финансирования, запланированный на реализацию 1</w:t>
      </w:r>
      <w:r w:rsidR="00110C3E" w:rsidRPr="007C1951">
        <w:rPr>
          <w:szCs w:val="28"/>
        </w:rPr>
        <w:t>5</w:t>
      </w:r>
      <w:r w:rsidRPr="007C1951">
        <w:rPr>
          <w:szCs w:val="28"/>
        </w:rPr>
        <w:t xml:space="preserve"> государственных программ, составил </w:t>
      </w:r>
      <w:r w:rsidR="00D02BBA" w:rsidRPr="007C1951">
        <w:rPr>
          <w:szCs w:val="28"/>
        </w:rPr>
        <w:t>180,8</w:t>
      </w:r>
      <w:r w:rsidR="004049AD" w:rsidRPr="007C1951">
        <w:rPr>
          <w:szCs w:val="28"/>
        </w:rPr>
        <w:t> </w:t>
      </w:r>
      <w:r w:rsidRPr="007C1951">
        <w:rPr>
          <w:szCs w:val="28"/>
        </w:rPr>
        <w:t xml:space="preserve">млрд рублей, в том числе за счет средств областного бюджета </w:t>
      </w:r>
      <w:r w:rsidR="004049AD" w:rsidRPr="007C1951">
        <w:rPr>
          <w:szCs w:val="28"/>
        </w:rPr>
        <w:t>128,9 </w:t>
      </w:r>
      <w:r w:rsidR="00990E27">
        <w:rPr>
          <w:szCs w:val="28"/>
        </w:rPr>
        <w:t>млрд </w:t>
      </w:r>
      <w:r w:rsidRPr="007C1951">
        <w:rPr>
          <w:szCs w:val="28"/>
        </w:rPr>
        <w:t>рублей.</w:t>
      </w:r>
    </w:p>
    <w:p w14:paraId="0CC9E39F" w14:textId="06528084" w:rsidR="00990E27" w:rsidRDefault="00990E27" w:rsidP="00990E27">
      <w:pPr>
        <w:rPr>
          <w:szCs w:val="28"/>
        </w:rPr>
      </w:pPr>
      <w:r w:rsidRPr="00990E27">
        <w:rPr>
          <w:szCs w:val="28"/>
        </w:rPr>
        <w:t xml:space="preserve">Плановые объемы </w:t>
      </w:r>
      <w:proofErr w:type="spellStart"/>
      <w:r w:rsidRPr="00990E27">
        <w:rPr>
          <w:szCs w:val="28"/>
        </w:rPr>
        <w:t>софинансирования</w:t>
      </w:r>
      <w:proofErr w:type="spellEnd"/>
      <w:r w:rsidRPr="00990E27">
        <w:rPr>
          <w:szCs w:val="28"/>
        </w:rPr>
        <w:t xml:space="preserve"> мероприятий государственных программ за счет средств федерального бюджета возросли с </w:t>
      </w:r>
      <w:r>
        <w:rPr>
          <w:szCs w:val="28"/>
        </w:rPr>
        <w:t>18,1</w:t>
      </w:r>
      <w:r w:rsidRPr="00990E27">
        <w:rPr>
          <w:szCs w:val="28"/>
        </w:rPr>
        <w:t xml:space="preserve"> млрд рублей в 20</w:t>
      </w:r>
      <w:r>
        <w:rPr>
          <w:szCs w:val="28"/>
        </w:rPr>
        <w:t>23</w:t>
      </w:r>
      <w:r w:rsidRPr="00990E27">
        <w:rPr>
          <w:szCs w:val="28"/>
        </w:rPr>
        <w:t xml:space="preserve"> году до </w:t>
      </w:r>
      <w:r>
        <w:rPr>
          <w:szCs w:val="28"/>
        </w:rPr>
        <w:t>25</w:t>
      </w:r>
      <w:r w:rsidRPr="00990E27">
        <w:rPr>
          <w:szCs w:val="28"/>
        </w:rPr>
        <w:t>,</w:t>
      </w:r>
      <w:r>
        <w:rPr>
          <w:szCs w:val="28"/>
        </w:rPr>
        <w:t>1</w:t>
      </w:r>
      <w:r w:rsidRPr="00990E27">
        <w:rPr>
          <w:szCs w:val="28"/>
        </w:rPr>
        <w:t xml:space="preserve"> млрд рублей в 20</w:t>
      </w:r>
      <w:r>
        <w:rPr>
          <w:szCs w:val="28"/>
        </w:rPr>
        <w:t>24</w:t>
      </w:r>
      <w:r w:rsidRPr="00990E27">
        <w:rPr>
          <w:szCs w:val="28"/>
        </w:rPr>
        <w:t xml:space="preserve"> году (на </w:t>
      </w:r>
      <w:r>
        <w:rPr>
          <w:szCs w:val="28"/>
        </w:rPr>
        <w:t>387</w:t>
      </w:r>
      <w:r w:rsidRPr="00990E27">
        <w:rPr>
          <w:szCs w:val="28"/>
        </w:rPr>
        <w:t xml:space="preserve">,8%), что </w:t>
      </w:r>
      <w:r>
        <w:rPr>
          <w:szCs w:val="28"/>
        </w:rPr>
        <w:t xml:space="preserve">обусловлено </w:t>
      </w:r>
      <w:r w:rsidRPr="00990E27">
        <w:rPr>
          <w:szCs w:val="28"/>
        </w:rPr>
        <w:t>ростом финансирования на предоставление социальных выплат отдельным категориям граждан</w:t>
      </w:r>
      <w:r>
        <w:rPr>
          <w:szCs w:val="28"/>
        </w:rPr>
        <w:t xml:space="preserve">, увеличением средств </w:t>
      </w:r>
      <w:r w:rsidR="00F641D6">
        <w:rPr>
          <w:szCs w:val="28"/>
        </w:rPr>
        <w:t>на модернизацию школьных систем образования и здравоохранения, а также началом реализации программы реновации закрытых административно-территориальных образований.</w:t>
      </w:r>
    </w:p>
    <w:p w14:paraId="1EBD7373" w14:textId="06708E27" w:rsidR="007071A1" w:rsidRPr="007C1951" w:rsidRDefault="007071A1" w:rsidP="007071A1">
      <w:pPr>
        <w:rPr>
          <w:szCs w:val="28"/>
        </w:rPr>
      </w:pPr>
      <w:r w:rsidRPr="007C1951">
        <w:rPr>
          <w:szCs w:val="28"/>
        </w:rPr>
        <w:lastRenderedPageBreak/>
        <w:t>Фактическое исполнение на 31 декабря 202</w:t>
      </w:r>
      <w:r w:rsidR="004049AD" w:rsidRPr="007C1951">
        <w:rPr>
          <w:szCs w:val="28"/>
        </w:rPr>
        <w:t>4</w:t>
      </w:r>
      <w:r w:rsidRPr="007C1951">
        <w:rPr>
          <w:szCs w:val="28"/>
        </w:rPr>
        <w:t xml:space="preserve"> года составило </w:t>
      </w:r>
      <w:r w:rsidR="00D02BBA" w:rsidRPr="007C1951">
        <w:rPr>
          <w:szCs w:val="28"/>
        </w:rPr>
        <w:t>171,9</w:t>
      </w:r>
      <w:r w:rsidRPr="007C1951">
        <w:rPr>
          <w:szCs w:val="28"/>
        </w:rPr>
        <w:t xml:space="preserve"> млрд рублей – 9</w:t>
      </w:r>
      <w:r w:rsidR="00D02BBA" w:rsidRPr="007C1951">
        <w:rPr>
          <w:szCs w:val="28"/>
        </w:rPr>
        <w:t>5,1</w:t>
      </w:r>
      <w:r w:rsidRPr="007C1951">
        <w:rPr>
          <w:szCs w:val="28"/>
        </w:rPr>
        <w:t xml:space="preserve"> % от запланированных на год объемов (таблица 1).</w:t>
      </w:r>
    </w:p>
    <w:p w14:paraId="6502C65C" w14:textId="07AC6ED4" w:rsidR="007071A1" w:rsidRPr="007C1951" w:rsidRDefault="007071A1" w:rsidP="007071A1">
      <w:pPr>
        <w:rPr>
          <w:szCs w:val="28"/>
        </w:rPr>
      </w:pPr>
      <w:r w:rsidRPr="007C1951">
        <w:rPr>
          <w:szCs w:val="28"/>
        </w:rPr>
        <w:t>По сравнению с результатами 202</w:t>
      </w:r>
      <w:r w:rsidR="00D02BBA" w:rsidRPr="007C1951">
        <w:rPr>
          <w:szCs w:val="28"/>
        </w:rPr>
        <w:t>3</w:t>
      </w:r>
      <w:r w:rsidRPr="007C1951">
        <w:rPr>
          <w:szCs w:val="28"/>
        </w:rPr>
        <w:t xml:space="preserve"> года степень освоения предусмотренных объемов финансовых средств увеличилась на </w:t>
      </w:r>
      <w:r w:rsidR="00D02BBA" w:rsidRPr="007C1951">
        <w:rPr>
          <w:szCs w:val="28"/>
        </w:rPr>
        <w:t>0,9</w:t>
      </w:r>
      <w:r w:rsidRPr="007C1951">
        <w:rPr>
          <w:szCs w:val="28"/>
        </w:rPr>
        <w:t xml:space="preserve"> </w:t>
      </w:r>
      <w:proofErr w:type="spellStart"/>
      <w:r w:rsidRPr="007C1951">
        <w:rPr>
          <w:szCs w:val="28"/>
        </w:rPr>
        <w:t>п.п</w:t>
      </w:r>
      <w:proofErr w:type="spellEnd"/>
      <w:r w:rsidRPr="007C1951">
        <w:rPr>
          <w:szCs w:val="28"/>
        </w:rPr>
        <w:t xml:space="preserve">., в том числе за счет увеличения уровня освоения средств ОБ – на </w:t>
      </w:r>
      <w:r w:rsidR="00D02BBA" w:rsidRPr="007C1951">
        <w:rPr>
          <w:szCs w:val="28"/>
        </w:rPr>
        <w:t>0,</w:t>
      </w:r>
      <w:r w:rsidR="005201C9">
        <w:rPr>
          <w:szCs w:val="28"/>
        </w:rPr>
        <w:t>8</w:t>
      </w:r>
      <w:r w:rsidRPr="007C1951">
        <w:rPr>
          <w:szCs w:val="28"/>
        </w:rPr>
        <w:t xml:space="preserve"> </w:t>
      </w:r>
      <w:proofErr w:type="spellStart"/>
      <w:r w:rsidRPr="007C1951">
        <w:rPr>
          <w:szCs w:val="28"/>
        </w:rPr>
        <w:t>п.п</w:t>
      </w:r>
      <w:proofErr w:type="spellEnd"/>
      <w:r w:rsidRPr="007C1951">
        <w:rPr>
          <w:szCs w:val="28"/>
        </w:rPr>
        <w:t xml:space="preserve">., </w:t>
      </w:r>
      <w:r w:rsidR="00D02BBA" w:rsidRPr="007C1951">
        <w:rPr>
          <w:szCs w:val="28"/>
        </w:rPr>
        <w:t xml:space="preserve">МБ – на 33,4 </w:t>
      </w:r>
      <w:proofErr w:type="spellStart"/>
      <w:r w:rsidR="00D02BBA" w:rsidRPr="007C1951">
        <w:rPr>
          <w:szCs w:val="28"/>
        </w:rPr>
        <w:t>п.п</w:t>
      </w:r>
      <w:proofErr w:type="spellEnd"/>
      <w:r w:rsidRPr="007C1951">
        <w:rPr>
          <w:szCs w:val="28"/>
        </w:rPr>
        <w:t>., при одновременном снижении уровня освоения средств</w:t>
      </w:r>
      <w:r w:rsidR="00D02BBA" w:rsidRPr="007C1951">
        <w:rPr>
          <w:szCs w:val="28"/>
        </w:rPr>
        <w:t xml:space="preserve"> ФБ – на 0,</w:t>
      </w:r>
      <w:r w:rsidR="005201C9">
        <w:rPr>
          <w:szCs w:val="28"/>
        </w:rPr>
        <w:t>3</w:t>
      </w:r>
      <w:r w:rsidR="00D02BBA" w:rsidRPr="007C1951">
        <w:rPr>
          <w:szCs w:val="28"/>
        </w:rPr>
        <w:t xml:space="preserve"> </w:t>
      </w:r>
      <w:proofErr w:type="spellStart"/>
      <w:r w:rsidR="00D02BBA" w:rsidRPr="007C1951">
        <w:rPr>
          <w:szCs w:val="28"/>
        </w:rPr>
        <w:t>п.п</w:t>
      </w:r>
      <w:proofErr w:type="spellEnd"/>
      <w:r w:rsidRPr="007C1951">
        <w:rPr>
          <w:szCs w:val="28"/>
        </w:rPr>
        <w:t>.</w:t>
      </w:r>
      <w:r w:rsidR="00D02BBA" w:rsidRPr="007C1951">
        <w:rPr>
          <w:szCs w:val="28"/>
        </w:rPr>
        <w:t>, ВБС – на 1,</w:t>
      </w:r>
      <w:r w:rsidR="005201C9">
        <w:rPr>
          <w:szCs w:val="28"/>
        </w:rPr>
        <w:t>3</w:t>
      </w:r>
      <w:r w:rsidR="00D02BBA" w:rsidRPr="007C1951">
        <w:rPr>
          <w:szCs w:val="28"/>
        </w:rPr>
        <w:t xml:space="preserve"> </w:t>
      </w:r>
      <w:proofErr w:type="spellStart"/>
      <w:r w:rsidR="00D02BBA" w:rsidRPr="007C1951">
        <w:rPr>
          <w:szCs w:val="28"/>
        </w:rPr>
        <w:t>п.п</w:t>
      </w:r>
      <w:proofErr w:type="spellEnd"/>
      <w:r w:rsidR="00D02BBA" w:rsidRPr="007C1951">
        <w:rPr>
          <w:szCs w:val="28"/>
        </w:rPr>
        <w:t>.</w:t>
      </w:r>
    </w:p>
    <w:p w14:paraId="3680B17B" w14:textId="77777777" w:rsidR="002C0B9B" w:rsidRPr="007C1951" w:rsidRDefault="002C0B9B" w:rsidP="002C0B9B">
      <w:pPr>
        <w:jc w:val="right"/>
        <w:rPr>
          <w:sz w:val="24"/>
          <w:szCs w:val="24"/>
        </w:rPr>
      </w:pPr>
      <w:r w:rsidRPr="007C1951">
        <w:rPr>
          <w:sz w:val="24"/>
          <w:szCs w:val="24"/>
        </w:rPr>
        <w:t>Таблица 1</w:t>
      </w:r>
    </w:p>
    <w:tbl>
      <w:tblPr>
        <w:tblW w:w="9677" w:type="dxa"/>
        <w:tblLook w:val="04A0" w:firstRow="1" w:lastRow="0" w:firstColumn="1" w:lastColumn="0" w:noHBand="0" w:noVBand="1"/>
      </w:tblPr>
      <w:tblGrid>
        <w:gridCol w:w="3251"/>
        <w:gridCol w:w="2517"/>
        <w:gridCol w:w="2208"/>
        <w:gridCol w:w="1701"/>
      </w:tblGrid>
      <w:tr w:rsidR="00F22E9D" w:rsidRPr="007C1951" w14:paraId="5455170C" w14:textId="77777777" w:rsidTr="00F22E9D">
        <w:trPr>
          <w:trHeight w:val="960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77129" w14:textId="77777777" w:rsidR="00F22E9D" w:rsidRPr="007C1951" w:rsidRDefault="00F22E9D" w:rsidP="00F22E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Всего по государственным программам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D0032" w14:textId="77777777" w:rsidR="00F22E9D" w:rsidRPr="007C1951" w:rsidRDefault="00F22E9D" w:rsidP="00F22E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Запланировано на год, млн. рублей</w:t>
            </w:r>
          </w:p>
        </w:tc>
        <w:tc>
          <w:tcPr>
            <w:tcW w:w="2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D50E3" w14:textId="77777777" w:rsidR="00F22E9D" w:rsidRPr="007C1951" w:rsidRDefault="00F22E9D" w:rsidP="00F22E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Исполнение, млн. рублей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4DC52" w14:textId="77777777" w:rsidR="00F22E9D" w:rsidRPr="007C1951" w:rsidRDefault="00F22E9D" w:rsidP="00F22E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Степень освоения средств</w:t>
            </w:r>
          </w:p>
        </w:tc>
      </w:tr>
      <w:tr w:rsidR="00F22E9D" w:rsidRPr="007C1951" w14:paraId="74D13788" w14:textId="77777777" w:rsidTr="00F22E9D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1F881" w14:textId="77777777" w:rsidR="00F22E9D" w:rsidRPr="007C1951" w:rsidRDefault="00F22E9D" w:rsidP="00F22E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 xml:space="preserve">Всего </w:t>
            </w:r>
            <w:r w:rsidRPr="007C1951">
              <w:rPr>
                <w:b/>
                <w:bCs/>
                <w:color w:val="000000"/>
                <w:sz w:val="24"/>
                <w:szCs w:val="24"/>
              </w:rPr>
              <w:t>за 2024 го</w:t>
            </w:r>
            <w:r w:rsidRPr="007C1951">
              <w:rPr>
                <w:color w:val="000000"/>
                <w:sz w:val="24"/>
                <w:szCs w:val="24"/>
              </w:rPr>
              <w:t>д, в т.ч.: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76233" w14:textId="77777777" w:rsidR="00F22E9D" w:rsidRPr="007C1951" w:rsidRDefault="00F22E9D" w:rsidP="00F22E9D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C1951">
              <w:rPr>
                <w:b/>
                <w:bCs/>
                <w:color w:val="000000"/>
                <w:sz w:val="24"/>
                <w:szCs w:val="20"/>
              </w:rPr>
              <w:t>180 780,5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F299B" w14:textId="77777777" w:rsidR="00F22E9D" w:rsidRPr="007C1951" w:rsidRDefault="00F22E9D" w:rsidP="00F22E9D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C1951">
              <w:rPr>
                <w:b/>
                <w:bCs/>
                <w:color w:val="000000"/>
                <w:sz w:val="24"/>
                <w:szCs w:val="20"/>
              </w:rPr>
              <w:t>171 933,9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BC214" w14:textId="0255790F" w:rsidR="00F22E9D" w:rsidRPr="007C1951" w:rsidRDefault="00F22E9D" w:rsidP="00E211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1951">
              <w:rPr>
                <w:b/>
                <w:bCs/>
                <w:color w:val="000000"/>
                <w:sz w:val="24"/>
                <w:szCs w:val="20"/>
              </w:rPr>
              <w:t>95,1</w:t>
            </w:r>
            <w:r w:rsidR="00E211F7">
              <w:rPr>
                <w:b/>
                <w:bCs/>
                <w:color w:val="000000"/>
                <w:sz w:val="24"/>
                <w:szCs w:val="20"/>
              </w:rPr>
              <w:t xml:space="preserve"> </w:t>
            </w:r>
            <w:r w:rsidRPr="007C1951">
              <w:rPr>
                <w:b/>
                <w:bCs/>
                <w:color w:val="000000"/>
                <w:sz w:val="24"/>
                <w:szCs w:val="20"/>
              </w:rPr>
              <w:t>%</w:t>
            </w:r>
          </w:p>
        </w:tc>
      </w:tr>
      <w:tr w:rsidR="00F22E9D" w:rsidRPr="007C1951" w14:paraId="3B9ED6AC" w14:textId="77777777" w:rsidTr="00F22E9D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C3F94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FC07F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128 899,6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896A9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121 849,6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8B906" w14:textId="2411F1AB" w:rsidR="00F22E9D" w:rsidRPr="007C1951" w:rsidRDefault="00F22E9D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94,5</w:t>
            </w:r>
            <w:r w:rsidR="00E211F7">
              <w:rPr>
                <w:color w:val="000000"/>
                <w:sz w:val="24"/>
                <w:szCs w:val="20"/>
              </w:rPr>
              <w:t xml:space="preserve"> </w:t>
            </w:r>
            <w:r w:rsidRPr="007C1951">
              <w:rPr>
                <w:color w:val="000000"/>
                <w:sz w:val="24"/>
                <w:szCs w:val="20"/>
              </w:rPr>
              <w:t>%</w:t>
            </w:r>
          </w:p>
        </w:tc>
      </w:tr>
      <w:tr w:rsidR="00F22E9D" w:rsidRPr="007C1951" w14:paraId="10157D66" w14:textId="77777777" w:rsidTr="00F22E9D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E66DD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D1914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25 111,3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80A94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23 337,9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A269" w14:textId="5F70EFF5" w:rsidR="00F22E9D" w:rsidRPr="007C1951" w:rsidRDefault="00F22E9D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92,9</w:t>
            </w:r>
            <w:r w:rsidR="00E211F7">
              <w:rPr>
                <w:color w:val="000000"/>
                <w:sz w:val="24"/>
                <w:szCs w:val="24"/>
              </w:rPr>
              <w:t xml:space="preserve"> </w:t>
            </w:r>
            <w:r w:rsidRPr="007C1951">
              <w:rPr>
                <w:color w:val="000000"/>
                <w:sz w:val="24"/>
                <w:szCs w:val="24"/>
              </w:rPr>
              <w:t>%</w:t>
            </w:r>
          </w:p>
        </w:tc>
      </w:tr>
      <w:tr w:rsidR="00F22E9D" w:rsidRPr="007C1951" w14:paraId="383A798E" w14:textId="77777777" w:rsidTr="00F22E9D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87112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69029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1 765,3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55FD1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1 580,1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9B67C" w14:textId="0AB27BC0" w:rsidR="00F22E9D" w:rsidRPr="007C1951" w:rsidRDefault="00F22E9D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89,5</w:t>
            </w:r>
            <w:r w:rsidR="00E211F7">
              <w:rPr>
                <w:color w:val="000000"/>
                <w:sz w:val="24"/>
                <w:szCs w:val="24"/>
              </w:rPr>
              <w:t xml:space="preserve"> </w:t>
            </w:r>
            <w:r w:rsidRPr="007C1951">
              <w:rPr>
                <w:color w:val="000000"/>
                <w:sz w:val="24"/>
                <w:szCs w:val="24"/>
              </w:rPr>
              <w:t>%</w:t>
            </w:r>
          </w:p>
        </w:tc>
      </w:tr>
      <w:tr w:rsidR="00F22E9D" w:rsidRPr="007C1951" w14:paraId="5941A94B" w14:textId="77777777" w:rsidTr="00F22E9D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61381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70A51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25 004,2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37FB9" w14:textId="77777777" w:rsidR="00F22E9D" w:rsidRPr="007C1951" w:rsidRDefault="00F22E9D" w:rsidP="00F22E9D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25 166,3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9BD2" w14:textId="7C421DE2" w:rsidR="00F22E9D" w:rsidRPr="007C1951" w:rsidRDefault="00F22E9D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100,6</w:t>
            </w:r>
            <w:r w:rsidR="00E211F7">
              <w:rPr>
                <w:color w:val="000000"/>
                <w:sz w:val="24"/>
                <w:szCs w:val="24"/>
              </w:rPr>
              <w:t xml:space="preserve"> </w:t>
            </w:r>
            <w:r w:rsidRPr="007C1951">
              <w:rPr>
                <w:color w:val="000000"/>
                <w:sz w:val="24"/>
                <w:szCs w:val="24"/>
              </w:rPr>
              <w:t>%</w:t>
            </w:r>
          </w:p>
        </w:tc>
      </w:tr>
      <w:tr w:rsidR="00E211F7" w:rsidRPr="007C1951" w14:paraId="6A6AD95B" w14:textId="77777777" w:rsidTr="0036128B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89290" w14:textId="77777777" w:rsidR="00E211F7" w:rsidRPr="007C1951" w:rsidRDefault="00E211F7" w:rsidP="00E211F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 xml:space="preserve">Всего </w:t>
            </w:r>
            <w:r w:rsidRPr="007C1951">
              <w:rPr>
                <w:b/>
                <w:bCs/>
                <w:color w:val="000000"/>
                <w:sz w:val="24"/>
                <w:szCs w:val="24"/>
              </w:rPr>
              <w:t>за 2023 го</w:t>
            </w:r>
            <w:r w:rsidRPr="007C1951">
              <w:rPr>
                <w:color w:val="000000"/>
                <w:sz w:val="24"/>
                <w:szCs w:val="24"/>
              </w:rPr>
              <w:t>д, в т.ч.: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B82DE" w14:textId="77777777" w:rsidR="00E211F7" w:rsidRPr="007C1951" w:rsidRDefault="00E211F7" w:rsidP="00E211F7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C1951">
              <w:rPr>
                <w:b/>
                <w:bCs/>
                <w:color w:val="000000"/>
                <w:sz w:val="24"/>
                <w:szCs w:val="20"/>
              </w:rPr>
              <w:t>156 303,5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84F59" w14:textId="77777777" w:rsidR="00E211F7" w:rsidRPr="007C1951" w:rsidRDefault="00E211F7" w:rsidP="00E211F7">
            <w:pPr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C1951">
              <w:rPr>
                <w:b/>
                <w:bCs/>
                <w:color w:val="000000"/>
                <w:sz w:val="24"/>
                <w:szCs w:val="20"/>
              </w:rPr>
              <w:t>147 211,1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D8D4DD" w14:textId="0F815C98" w:rsidR="00E211F7" w:rsidRPr="007C1951" w:rsidRDefault="00E211F7" w:rsidP="00E211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0C3E">
              <w:rPr>
                <w:b/>
                <w:bCs/>
                <w:sz w:val="24"/>
                <w:szCs w:val="20"/>
              </w:rPr>
              <w:t>94,2</w:t>
            </w:r>
            <w:r>
              <w:rPr>
                <w:b/>
                <w:bCs/>
                <w:sz w:val="24"/>
                <w:szCs w:val="20"/>
              </w:rPr>
              <w:t xml:space="preserve"> </w:t>
            </w:r>
            <w:r w:rsidRPr="00110C3E">
              <w:rPr>
                <w:b/>
                <w:bCs/>
                <w:sz w:val="24"/>
                <w:szCs w:val="20"/>
              </w:rPr>
              <w:t>%</w:t>
            </w:r>
          </w:p>
        </w:tc>
      </w:tr>
      <w:tr w:rsidR="00E211F7" w:rsidRPr="007C1951" w14:paraId="37F59A0B" w14:textId="77777777" w:rsidTr="0036128B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1654E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834BB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114 591,3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BCA24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107 330,6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6A99C" w14:textId="70C9DF80" w:rsidR="00E211F7" w:rsidRPr="007C1951" w:rsidRDefault="00E211F7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0C3E">
              <w:rPr>
                <w:sz w:val="24"/>
                <w:szCs w:val="20"/>
              </w:rPr>
              <w:t>93,7</w:t>
            </w:r>
            <w:r>
              <w:rPr>
                <w:sz w:val="24"/>
                <w:szCs w:val="20"/>
              </w:rPr>
              <w:t xml:space="preserve"> </w:t>
            </w:r>
            <w:r w:rsidRPr="00110C3E">
              <w:rPr>
                <w:sz w:val="24"/>
                <w:szCs w:val="20"/>
              </w:rPr>
              <w:t>%</w:t>
            </w:r>
          </w:p>
        </w:tc>
      </w:tr>
      <w:tr w:rsidR="00E211F7" w:rsidRPr="007C1951" w14:paraId="15C5C144" w14:textId="77777777" w:rsidTr="0036128B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35FB3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B4FB6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18 105,6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DD25A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16 871,0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0BD3B6" w14:textId="0B9018C1" w:rsidR="00E211F7" w:rsidRPr="007C1951" w:rsidRDefault="00E211F7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0C3E">
              <w:rPr>
                <w:sz w:val="24"/>
                <w:szCs w:val="20"/>
              </w:rPr>
              <w:t>93,2</w:t>
            </w:r>
            <w:r>
              <w:rPr>
                <w:sz w:val="24"/>
                <w:szCs w:val="20"/>
              </w:rPr>
              <w:t xml:space="preserve"> </w:t>
            </w:r>
            <w:r w:rsidRPr="00110C3E">
              <w:rPr>
                <w:sz w:val="24"/>
                <w:szCs w:val="20"/>
              </w:rPr>
              <w:t>%</w:t>
            </w:r>
          </w:p>
        </w:tc>
      </w:tr>
      <w:tr w:rsidR="00E211F7" w:rsidRPr="007C1951" w14:paraId="34BB34EF" w14:textId="77777777" w:rsidTr="0036128B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40081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4348B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2 271,4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0B6FA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1 276,9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385FAC" w14:textId="32126347" w:rsidR="00E211F7" w:rsidRPr="007C1951" w:rsidRDefault="00E211F7" w:rsidP="00E211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0C3E">
              <w:rPr>
                <w:sz w:val="24"/>
                <w:szCs w:val="20"/>
              </w:rPr>
              <w:t>56,2</w:t>
            </w:r>
            <w:r>
              <w:rPr>
                <w:sz w:val="24"/>
                <w:szCs w:val="20"/>
              </w:rPr>
              <w:t xml:space="preserve"> </w:t>
            </w:r>
            <w:r w:rsidRPr="00110C3E">
              <w:rPr>
                <w:sz w:val="24"/>
                <w:szCs w:val="20"/>
              </w:rPr>
              <w:t>%</w:t>
            </w:r>
          </w:p>
        </w:tc>
      </w:tr>
      <w:tr w:rsidR="00E211F7" w:rsidRPr="007C1951" w14:paraId="27D607DC" w14:textId="77777777" w:rsidTr="0036128B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A7A70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7C45A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21 335,3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463E0" w14:textId="77777777" w:rsidR="00E211F7" w:rsidRPr="007C1951" w:rsidRDefault="00E211F7" w:rsidP="00E211F7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7C1951">
              <w:rPr>
                <w:color w:val="000000"/>
                <w:sz w:val="24"/>
                <w:szCs w:val="20"/>
              </w:rPr>
              <w:t>21 732,6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D83E2C" w14:textId="0677795B" w:rsidR="00E211F7" w:rsidRPr="007C1951" w:rsidRDefault="00E211F7" w:rsidP="00E211F7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10C3E">
              <w:rPr>
                <w:sz w:val="24"/>
                <w:szCs w:val="20"/>
              </w:rPr>
              <w:t>101,9</w:t>
            </w:r>
            <w:r>
              <w:rPr>
                <w:sz w:val="24"/>
                <w:szCs w:val="20"/>
              </w:rPr>
              <w:t xml:space="preserve"> </w:t>
            </w:r>
            <w:r w:rsidRPr="00110C3E">
              <w:rPr>
                <w:sz w:val="24"/>
                <w:szCs w:val="20"/>
              </w:rPr>
              <w:t>%</w:t>
            </w:r>
          </w:p>
        </w:tc>
      </w:tr>
    </w:tbl>
    <w:p w14:paraId="4AFD5796" w14:textId="2514435D" w:rsidR="002C0B9B" w:rsidRPr="00E11944" w:rsidRDefault="002C0B9B" w:rsidP="002C0B9B">
      <w:pPr>
        <w:rPr>
          <w:szCs w:val="28"/>
        </w:rPr>
      </w:pPr>
      <w:r w:rsidRPr="007C1951">
        <w:rPr>
          <w:szCs w:val="28"/>
        </w:rPr>
        <w:t>В 202</w:t>
      </w:r>
      <w:r w:rsidR="000F7FB1" w:rsidRPr="007C1951">
        <w:rPr>
          <w:szCs w:val="28"/>
        </w:rPr>
        <w:t>4</w:t>
      </w:r>
      <w:r w:rsidRPr="007C1951">
        <w:rPr>
          <w:szCs w:val="28"/>
        </w:rPr>
        <w:t xml:space="preserve"> году значительная часть от общего объема расходов (</w:t>
      </w:r>
      <w:r w:rsidR="005201C9">
        <w:rPr>
          <w:szCs w:val="28"/>
        </w:rPr>
        <w:t>88,</w:t>
      </w:r>
      <w:r w:rsidR="000F7FB1" w:rsidRPr="007C1951">
        <w:rPr>
          <w:szCs w:val="28"/>
        </w:rPr>
        <w:t>9</w:t>
      </w:r>
      <w:r w:rsidR="005201C9">
        <w:rPr>
          <w:szCs w:val="28"/>
        </w:rPr>
        <w:t> </w:t>
      </w:r>
      <w:r w:rsidRPr="007C1951">
        <w:rPr>
          <w:szCs w:val="28"/>
        </w:rPr>
        <w:t xml:space="preserve">%) приходится на 6 программ: </w:t>
      </w:r>
      <w:r w:rsidR="00925454" w:rsidRPr="007C1951">
        <w:rPr>
          <w:szCs w:val="28"/>
        </w:rPr>
        <w:t>«</w:t>
      </w:r>
      <w:r w:rsidR="009C5F64" w:rsidRPr="007C1951">
        <w:rPr>
          <w:szCs w:val="28"/>
        </w:rPr>
        <w:t>З</w:t>
      </w:r>
      <w:r w:rsidRPr="007C1951">
        <w:rPr>
          <w:szCs w:val="28"/>
        </w:rPr>
        <w:t>дравоохранени</w:t>
      </w:r>
      <w:r w:rsidR="009C5F64" w:rsidRPr="007C1951">
        <w:rPr>
          <w:szCs w:val="28"/>
        </w:rPr>
        <w:t>е</w:t>
      </w:r>
      <w:r w:rsidR="00925454" w:rsidRPr="007C1951">
        <w:rPr>
          <w:szCs w:val="28"/>
        </w:rPr>
        <w:t>»</w:t>
      </w:r>
      <w:r w:rsidRPr="007C1951">
        <w:rPr>
          <w:szCs w:val="28"/>
        </w:rPr>
        <w:t xml:space="preserve">, </w:t>
      </w:r>
      <w:r w:rsidR="00925454" w:rsidRPr="007C1951">
        <w:rPr>
          <w:szCs w:val="28"/>
        </w:rPr>
        <w:t>«</w:t>
      </w:r>
      <w:r w:rsidR="009C5F64" w:rsidRPr="007C1951">
        <w:rPr>
          <w:szCs w:val="28"/>
        </w:rPr>
        <w:t>Образование и наука</w:t>
      </w:r>
      <w:r w:rsidR="00925454" w:rsidRPr="007C1951">
        <w:rPr>
          <w:szCs w:val="28"/>
        </w:rPr>
        <w:t>»</w:t>
      </w:r>
      <w:r w:rsidRPr="007C1951">
        <w:rPr>
          <w:szCs w:val="28"/>
        </w:rPr>
        <w:t xml:space="preserve">, </w:t>
      </w:r>
      <w:r w:rsidR="00925454" w:rsidRPr="007C1951">
        <w:rPr>
          <w:szCs w:val="28"/>
        </w:rPr>
        <w:t>«</w:t>
      </w:r>
      <w:r w:rsidRPr="007C1951">
        <w:rPr>
          <w:szCs w:val="28"/>
        </w:rPr>
        <w:t>Социальная поддержка</w:t>
      </w:r>
      <w:r w:rsidR="00925454" w:rsidRPr="007C1951">
        <w:rPr>
          <w:szCs w:val="28"/>
        </w:rPr>
        <w:t>»</w:t>
      </w:r>
      <w:r w:rsidRPr="007C1951">
        <w:rPr>
          <w:szCs w:val="28"/>
        </w:rPr>
        <w:t xml:space="preserve">, </w:t>
      </w:r>
      <w:r w:rsidR="00925454" w:rsidRPr="007C1951">
        <w:rPr>
          <w:szCs w:val="28"/>
        </w:rPr>
        <w:t>«</w:t>
      </w:r>
      <w:r w:rsidR="009C5F64" w:rsidRPr="007C1951">
        <w:rPr>
          <w:szCs w:val="28"/>
        </w:rPr>
        <w:t>Финансы</w:t>
      </w:r>
      <w:r w:rsidR="00925454" w:rsidRPr="007C1951">
        <w:rPr>
          <w:szCs w:val="28"/>
        </w:rPr>
        <w:t>»</w:t>
      </w:r>
      <w:r w:rsidRPr="007C1951">
        <w:rPr>
          <w:szCs w:val="28"/>
        </w:rPr>
        <w:t xml:space="preserve">, </w:t>
      </w:r>
      <w:r w:rsidR="00925454" w:rsidRPr="007C1951">
        <w:rPr>
          <w:szCs w:val="28"/>
        </w:rPr>
        <w:t>«</w:t>
      </w:r>
      <w:r w:rsidR="009C5F64" w:rsidRPr="007C1951">
        <w:rPr>
          <w:szCs w:val="28"/>
        </w:rPr>
        <w:t>Комфортное жилье и городская среда</w:t>
      </w:r>
      <w:r w:rsidR="00925454" w:rsidRPr="007C1951">
        <w:rPr>
          <w:szCs w:val="28"/>
        </w:rPr>
        <w:t>»</w:t>
      </w:r>
      <w:r w:rsidRPr="007C1951">
        <w:rPr>
          <w:szCs w:val="28"/>
        </w:rPr>
        <w:t xml:space="preserve">, </w:t>
      </w:r>
      <w:r w:rsidR="00925454" w:rsidRPr="007C1951">
        <w:rPr>
          <w:szCs w:val="28"/>
        </w:rPr>
        <w:t>«</w:t>
      </w:r>
      <w:r w:rsidR="00837A31" w:rsidRPr="007C1951">
        <w:rPr>
          <w:szCs w:val="28"/>
        </w:rPr>
        <w:t>Транспортная система</w:t>
      </w:r>
      <w:r w:rsidR="00925454" w:rsidRPr="007C1951">
        <w:rPr>
          <w:szCs w:val="28"/>
        </w:rPr>
        <w:t>»</w:t>
      </w:r>
      <w:r w:rsidRPr="007C1951">
        <w:rPr>
          <w:szCs w:val="28"/>
        </w:rPr>
        <w:t xml:space="preserve">. По </w:t>
      </w:r>
      <w:r w:rsidR="000F7FB1" w:rsidRPr="007C1951">
        <w:rPr>
          <w:szCs w:val="28"/>
        </w:rPr>
        <w:t>четырём</w:t>
      </w:r>
      <w:r w:rsidR="009241B4" w:rsidRPr="007C1951">
        <w:rPr>
          <w:szCs w:val="28"/>
        </w:rPr>
        <w:t xml:space="preserve"> </w:t>
      </w:r>
      <w:r w:rsidRPr="007C1951">
        <w:rPr>
          <w:szCs w:val="28"/>
        </w:rPr>
        <w:t>из них</w:t>
      </w:r>
      <w:r w:rsidR="00F20785" w:rsidRPr="007C1951">
        <w:rPr>
          <w:szCs w:val="28"/>
        </w:rPr>
        <w:t xml:space="preserve"> (программы «</w:t>
      </w:r>
      <w:r w:rsidR="000F7FB1" w:rsidRPr="007C1951">
        <w:rPr>
          <w:szCs w:val="28"/>
        </w:rPr>
        <w:t>«Здравоохранение», «Образование и наука», «Социальная поддержка», «Финансы»</w:t>
      </w:r>
      <w:r w:rsidR="00F20785" w:rsidRPr="007C1951">
        <w:rPr>
          <w:szCs w:val="28"/>
        </w:rPr>
        <w:t>)</w:t>
      </w:r>
      <w:r w:rsidRPr="007C1951">
        <w:rPr>
          <w:szCs w:val="28"/>
        </w:rPr>
        <w:t xml:space="preserve"> отмечается высокая степень освоения предусмотренных средств по всем источникам (не менее 95</w:t>
      </w:r>
      <w:r w:rsidR="00CF521F" w:rsidRPr="007C1951">
        <w:rPr>
          <w:szCs w:val="28"/>
        </w:rPr>
        <w:t> </w:t>
      </w:r>
      <w:r w:rsidRPr="007C1951">
        <w:rPr>
          <w:szCs w:val="28"/>
        </w:rPr>
        <w:t>%) (Рисунок 5).</w:t>
      </w:r>
    </w:p>
    <w:p w14:paraId="7415EBBB" w14:textId="77777777" w:rsidR="002C0B9B" w:rsidRPr="00E11944" w:rsidRDefault="002C0B9B" w:rsidP="002C0B9B">
      <w:pPr>
        <w:rPr>
          <w:szCs w:val="28"/>
        </w:rPr>
        <w:sectPr w:rsidR="002C0B9B" w:rsidRPr="00E11944" w:rsidSect="00BB4B16">
          <w:headerReference w:type="default" r:id="rId11"/>
          <w:pgSz w:w="11906" w:h="16838"/>
          <w:pgMar w:top="1134" w:right="850" w:bottom="1134" w:left="1418" w:header="708" w:footer="708" w:gutter="0"/>
          <w:cols w:space="708"/>
          <w:titlePg/>
          <w:docGrid w:linePitch="381"/>
        </w:sectPr>
      </w:pPr>
    </w:p>
    <w:p w14:paraId="080167C3" w14:textId="488688E3" w:rsidR="002C0B9B" w:rsidRDefault="002C0B9B" w:rsidP="002C0B9B">
      <w:pPr>
        <w:rPr>
          <w:szCs w:val="28"/>
        </w:rPr>
      </w:pPr>
    </w:p>
    <w:p w14:paraId="6C3E554A" w14:textId="39090165" w:rsidR="00067A68" w:rsidRPr="00E11944" w:rsidRDefault="00067A68" w:rsidP="002C0B9B">
      <w:pPr>
        <w:rPr>
          <w:szCs w:val="28"/>
        </w:rPr>
      </w:pPr>
      <w:r w:rsidRPr="00067A68">
        <w:rPr>
          <w:noProof/>
        </w:rPr>
        <w:drawing>
          <wp:inline distT="0" distB="0" distL="0" distR="0" wp14:anchorId="2987503E" wp14:editId="022581B0">
            <wp:extent cx="9321165" cy="5381625"/>
            <wp:effectExtent l="0" t="0" r="13335" b="9525"/>
            <wp:docPr id="2" name="Диаграмма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81D7533-1DC7-0924-DEBA-0BA1B308B2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E5B0644" w14:textId="77777777" w:rsidR="002C0B9B" w:rsidRPr="00E11944" w:rsidRDefault="002C0B9B" w:rsidP="002C0B9B"/>
    <w:p w14:paraId="650C5829" w14:textId="77777777" w:rsidR="002C0B9B" w:rsidRDefault="002C0B9B" w:rsidP="002C0B9B">
      <w:pPr>
        <w:ind w:firstLine="0"/>
        <w:jc w:val="center"/>
        <w:rPr>
          <w:sz w:val="24"/>
          <w:szCs w:val="28"/>
        </w:rPr>
      </w:pPr>
      <w:r w:rsidRPr="00E11944">
        <w:rPr>
          <w:sz w:val="24"/>
          <w:szCs w:val="28"/>
        </w:rPr>
        <w:t>Рисунок 5</w:t>
      </w:r>
    </w:p>
    <w:p w14:paraId="232B3ED8" w14:textId="77777777" w:rsidR="00EF7C11" w:rsidRDefault="00EF7C11" w:rsidP="00EF7C11">
      <w:pPr>
        <w:ind w:left="360" w:firstLine="0"/>
        <w:jc w:val="left"/>
        <w:rPr>
          <w:sz w:val="20"/>
          <w:szCs w:val="20"/>
        </w:rPr>
      </w:pPr>
    </w:p>
    <w:p w14:paraId="40318227" w14:textId="76A335DF" w:rsidR="00EF7C11" w:rsidRPr="00EF7C11" w:rsidRDefault="00EF7C11" w:rsidP="00EF7C11">
      <w:pPr>
        <w:ind w:left="360" w:firstLine="0"/>
        <w:jc w:val="left"/>
        <w:rPr>
          <w:sz w:val="16"/>
          <w:szCs w:val="16"/>
        </w:rPr>
      </w:pPr>
      <w:r w:rsidRPr="00EF7C11">
        <w:rPr>
          <w:sz w:val="16"/>
          <w:szCs w:val="16"/>
        </w:rPr>
        <w:t>* Превышение плановых объемов за счет средств ВБС (средства ТФОМС)</w:t>
      </w:r>
    </w:p>
    <w:p w14:paraId="259F0798" w14:textId="77777777" w:rsidR="002C0B9B" w:rsidRPr="00E11944" w:rsidRDefault="002C0B9B" w:rsidP="002C0B9B">
      <w:pPr>
        <w:ind w:firstLine="0"/>
        <w:jc w:val="center"/>
        <w:rPr>
          <w:sz w:val="24"/>
          <w:szCs w:val="28"/>
        </w:rPr>
      </w:pPr>
    </w:p>
    <w:p w14:paraId="60F31EDE" w14:textId="77777777" w:rsidR="002C0B9B" w:rsidRDefault="002C0B9B" w:rsidP="002C0B9B">
      <w:pPr>
        <w:rPr>
          <w:szCs w:val="28"/>
        </w:rPr>
      </w:pPr>
    </w:p>
    <w:p w14:paraId="734E494A" w14:textId="1A9FF9FE" w:rsidR="001E4BDE" w:rsidRPr="00E11944" w:rsidRDefault="001E4BDE" w:rsidP="001E4BDE">
      <w:pPr>
        <w:rPr>
          <w:szCs w:val="28"/>
        </w:rPr>
      </w:pPr>
      <w:r w:rsidRPr="00EF7C11">
        <w:rPr>
          <w:szCs w:val="28"/>
        </w:rPr>
        <w:t>На реализацию оставшихся 9 программ в 2024 году израсходовано 19,0 млрд рублей, при этом средняя степень освоения средств по указанным программам составила 89,5 % (Рисунок 6).</w:t>
      </w:r>
    </w:p>
    <w:p w14:paraId="56116AE5" w14:textId="201C5EA7" w:rsidR="002C0B9B" w:rsidRDefault="00EF7C11" w:rsidP="002C0B9B">
      <w:pPr>
        <w:ind w:firstLine="0"/>
        <w:jc w:val="center"/>
        <w:rPr>
          <w:sz w:val="24"/>
          <w:szCs w:val="28"/>
        </w:rPr>
      </w:pPr>
      <w:r w:rsidRPr="00E11944">
        <w:rPr>
          <w:noProof/>
        </w:rPr>
        <w:drawing>
          <wp:inline distT="0" distB="0" distL="0" distR="0" wp14:anchorId="7B67E9E2" wp14:editId="599D6FF9">
            <wp:extent cx="9648825" cy="5000625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2C0B9B" w:rsidRPr="00E11944">
        <w:rPr>
          <w:sz w:val="24"/>
          <w:szCs w:val="28"/>
        </w:rPr>
        <w:t>Рисунок 6</w:t>
      </w:r>
    </w:p>
    <w:p w14:paraId="753EAC34" w14:textId="77777777" w:rsidR="004D4CE1" w:rsidRDefault="004D4CE1" w:rsidP="002C0B9B">
      <w:pPr>
        <w:ind w:firstLine="0"/>
        <w:jc w:val="center"/>
        <w:rPr>
          <w:sz w:val="24"/>
          <w:szCs w:val="28"/>
        </w:rPr>
      </w:pPr>
    </w:p>
    <w:p w14:paraId="00613F01" w14:textId="77777777" w:rsidR="004D4CE1" w:rsidRPr="00EF7C11" w:rsidRDefault="004D4CE1" w:rsidP="004D4CE1">
      <w:pPr>
        <w:rPr>
          <w:sz w:val="16"/>
          <w:szCs w:val="16"/>
        </w:rPr>
      </w:pPr>
      <w:r w:rsidRPr="00EF7C11">
        <w:rPr>
          <w:sz w:val="16"/>
          <w:szCs w:val="16"/>
        </w:rPr>
        <w:t>*Превышение плановых объемов за счет средств ВБС (средства Фонда социального страхования)</w:t>
      </w:r>
    </w:p>
    <w:p w14:paraId="0AB6004A" w14:textId="77777777" w:rsidR="00EF7C11" w:rsidRPr="00EF7C11" w:rsidRDefault="004D4CE1" w:rsidP="00EF7C11">
      <w:pPr>
        <w:rPr>
          <w:sz w:val="16"/>
          <w:szCs w:val="16"/>
        </w:rPr>
      </w:pPr>
      <w:r w:rsidRPr="00EF7C11">
        <w:rPr>
          <w:sz w:val="16"/>
          <w:szCs w:val="16"/>
        </w:rPr>
        <w:t>**Превышение плановых объемов за счет средств ВБС (в связи с увеличением объема выпуска ценных видов водных биоресурсов в рамках компенсационных мероприятий)</w:t>
      </w:r>
    </w:p>
    <w:p w14:paraId="6F1E7CF3" w14:textId="0335DF58" w:rsidR="00EF7C11" w:rsidRPr="00EF7C11" w:rsidRDefault="00EF7C11" w:rsidP="00EF7C11">
      <w:pPr>
        <w:rPr>
          <w:sz w:val="16"/>
          <w:szCs w:val="16"/>
        </w:rPr>
        <w:sectPr w:rsidR="00EF7C11" w:rsidRPr="00EF7C11" w:rsidSect="00BB4B16">
          <w:pgSz w:w="16838" w:h="11906" w:orient="landscape"/>
          <w:pgMar w:top="851" w:right="678" w:bottom="567" w:left="851" w:header="709" w:footer="709" w:gutter="0"/>
          <w:cols w:space="708"/>
          <w:docGrid w:linePitch="360"/>
        </w:sectPr>
      </w:pPr>
      <w:r w:rsidRPr="00EF7C11">
        <w:rPr>
          <w:sz w:val="16"/>
          <w:szCs w:val="16"/>
        </w:rPr>
        <w:t>*** Низкая степень освоения средств ОБ (обусловлена не освоением средств, выделенных на инфраструктурные проекты Мурманской области с привлеченными средствами ИБК в связи с переносом фактического выполнения работ на 2025 год).</w:t>
      </w:r>
    </w:p>
    <w:p w14:paraId="0237425F" w14:textId="77777777" w:rsidR="00F05D07" w:rsidRPr="00E11944" w:rsidRDefault="00F05D07" w:rsidP="00F05D07">
      <w:pPr>
        <w:autoSpaceDE w:val="0"/>
        <w:autoSpaceDN w:val="0"/>
        <w:adjustRightInd w:val="0"/>
        <w:rPr>
          <w:b/>
        </w:rPr>
      </w:pPr>
      <w:r w:rsidRPr="00E11944">
        <w:rPr>
          <w:b/>
        </w:rPr>
        <w:lastRenderedPageBreak/>
        <w:t>4. Оценка эффективности</w:t>
      </w:r>
    </w:p>
    <w:p w14:paraId="1CF9E006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t xml:space="preserve">Оценка эффективности государственных программ проводилась ответственными исполнителями на основе </w:t>
      </w:r>
      <w:r w:rsidRPr="004E1820">
        <w:rPr>
          <w:szCs w:val="28"/>
        </w:rPr>
        <w:t>методики, установленной в Порядке</w:t>
      </w:r>
      <w:r w:rsidRPr="004E1820">
        <w:t xml:space="preserve">, </w:t>
      </w:r>
      <w:r w:rsidRPr="004E1820">
        <w:rPr>
          <w:bCs/>
          <w:szCs w:val="28"/>
        </w:rPr>
        <w:t>исходя из значения интегрального показателя эффективности, рассчитываемого на основе трех критериев:</w:t>
      </w:r>
    </w:p>
    <w:p w14:paraId="391411C9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К1 – степень достижения целей и решения задач государственной программы (степень достижения значений показателей);</w:t>
      </w:r>
    </w:p>
    <w:p w14:paraId="51FB2110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К2 – динамика значений показателей по сравнению с предшествующим (2021) годом;</w:t>
      </w:r>
    </w:p>
    <w:p w14:paraId="2A3042DF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szCs w:val="28"/>
        </w:rPr>
        <w:t>К3 –</w:t>
      </w:r>
      <w:r w:rsidRPr="004E1820">
        <w:rPr>
          <w:bCs/>
          <w:szCs w:val="28"/>
        </w:rPr>
        <w:t xml:space="preserve"> степень выполнения мероприятий государственной программы.</w:t>
      </w:r>
    </w:p>
    <w:p w14:paraId="1882399C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Интегральный показатель эффективности реализации государственной программы (ЭГП) рассчитывался по формуле:</w:t>
      </w:r>
    </w:p>
    <w:p w14:paraId="56E8CBEB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ЭГП = К1*0,3</w:t>
      </w:r>
      <w:proofErr w:type="gramStart"/>
      <w:r w:rsidRPr="004E1820">
        <w:rPr>
          <w:bCs/>
          <w:szCs w:val="28"/>
        </w:rPr>
        <w:t>+(</w:t>
      </w:r>
      <w:proofErr w:type="gramEnd"/>
      <w:r w:rsidRPr="004E1820">
        <w:rPr>
          <w:bCs/>
          <w:szCs w:val="28"/>
        </w:rPr>
        <w:t>К2-3%)*0,35+К3*0,35.</w:t>
      </w:r>
    </w:p>
    <w:p w14:paraId="3BE3E3B1" w14:textId="77777777" w:rsidR="00F05D07" w:rsidRPr="004E1820" w:rsidRDefault="00F05D07" w:rsidP="00F05D07">
      <w:pPr>
        <w:autoSpaceDE w:val="0"/>
        <w:autoSpaceDN w:val="0"/>
        <w:adjustRightInd w:val="0"/>
        <w:rPr>
          <w:bCs/>
          <w:szCs w:val="28"/>
        </w:rPr>
      </w:pPr>
      <w:r w:rsidRPr="004E1820">
        <w:rPr>
          <w:bCs/>
          <w:szCs w:val="28"/>
        </w:rPr>
        <w:t>Государственная программа считается реализуемой:</w:t>
      </w:r>
    </w:p>
    <w:p w14:paraId="30A2D7AA" w14:textId="77777777" w:rsidR="00F05D07" w:rsidRPr="004E1820" w:rsidRDefault="00F05D07" w:rsidP="00F05D0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 высоким уровнем эффективности, если значение ЭГП составляет не менее 97 %;</w:t>
      </w:r>
    </w:p>
    <w:p w14:paraId="723870D8" w14:textId="77777777" w:rsidR="00F05D07" w:rsidRPr="004E1820" w:rsidRDefault="00F05D07" w:rsidP="00F05D0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со средним уровнем эффективности, если значение ЭГП составляет не менее 92 %;</w:t>
      </w:r>
    </w:p>
    <w:p w14:paraId="7A4DF15F" w14:textId="77777777" w:rsidR="00F05D07" w:rsidRPr="004E1820" w:rsidRDefault="00F05D07" w:rsidP="00F05D0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 уровнем эффективности ниже среднего, если значение ЭГП составляет не менее 85 %;</w:t>
      </w:r>
    </w:p>
    <w:p w14:paraId="1B31C0BA" w14:textId="77777777" w:rsidR="00F05D07" w:rsidRPr="004E1820" w:rsidRDefault="00F05D07" w:rsidP="00F05D0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4E1820">
        <w:rPr>
          <w:bCs/>
          <w:szCs w:val="28"/>
        </w:rPr>
        <w:t>с низким уровнем эффективности, если значение ЭГП ниже 85 %.</w:t>
      </w:r>
    </w:p>
    <w:p w14:paraId="5EBB52BF" w14:textId="72C1F001" w:rsidR="00F05D07" w:rsidRPr="004E1820" w:rsidRDefault="00F05D07" w:rsidP="00F05D07">
      <w:pPr>
        <w:autoSpaceDE w:val="0"/>
        <w:autoSpaceDN w:val="0"/>
        <w:adjustRightInd w:val="0"/>
        <w:rPr>
          <w:szCs w:val="28"/>
        </w:rPr>
      </w:pPr>
      <w:r w:rsidRPr="004E1820">
        <w:rPr>
          <w:szCs w:val="28"/>
        </w:rPr>
        <w:t>Результаты оценки эффективности реализации государственных программ в 202</w:t>
      </w:r>
      <w:r w:rsidR="007C5ECB">
        <w:rPr>
          <w:szCs w:val="28"/>
        </w:rPr>
        <w:t>4</w:t>
      </w:r>
      <w:r w:rsidRPr="004E1820">
        <w:rPr>
          <w:szCs w:val="28"/>
        </w:rPr>
        <w:t xml:space="preserve"> году представлены в приложении № 4.</w:t>
      </w:r>
    </w:p>
    <w:p w14:paraId="5362458C" w14:textId="77777777" w:rsidR="00F05D07" w:rsidRPr="007C5ECB" w:rsidRDefault="00F05D07" w:rsidP="00F05D07">
      <w:pPr>
        <w:autoSpaceDE w:val="0"/>
        <w:autoSpaceDN w:val="0"/>
        <w:adjustRightInd w:val="0"/>
        <w:spacing w:before="120" w:after="120"/>
        <w:rPr>
          <w:szCs w:val="28"/>
        </w:rPr>
      </w:pPr>
      <w:r w:rsidRPr="007C5ECB">
        <w:rPr>
          <w:szCs w:val="28"/>
        </w:rPr>
        <w:t>Из 15 государственных программ Мурманской области высокую оценку получили 4 (Таблица 2):</w:t>
      </w:r>
    </w:p>
    <w:p w14:paraId="7C12F5BB" w14:textId="77777777" w:rsidR="00F05D07" w:rsidRPr="007C5ECB" w:rsidRDefault="00F05D07" w:rsidP="00F05D07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 xml:space="preserve">«Информационное общество» (ЭГП – </w:t>
      </w:r>
      <w:r w:rsidRPr="007C5ECB">
        <w:rPr>
          <w:szCs w:val="28"/>
          <w:lang w:val="en-US"/>
        </w:rPr>
        <w:t>98</w:t>
      </w:r>
      <w:r w:rsidRPr="007C5ECB">
        <w:rPr>
          <w:szCs w:val="28"/>
        </w:rPr>
        <w:t>,</w:t>
      </w:r>
      <w:r w:rsidRPr="007C5ECB">
        <w:rPr>
          <w:szCs w:val="28"/>
          <w:lang w:val="en-US"/>
        </w:rPr>
        <w:t>7</w:t>
      </w:r>
      <w:r w:rsidRPr="007C5ECB">
        <w:rPr>
          <w:szCs w:val="28"/>
        </w:rPr>
        <w:t> %).</w:t>
      </w:r>
    </w:p>
    <w:p w14:paraId="7E69FA05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«Образование и наука» (ЭГП – 97,2 %).</w:t>
      </w:r>
    </w:p>
    <w:p w14:paraId="42A99205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«Социальная поддержка» (ЭГП – 97,1 %)</w:t>
      </w:r>
    </w:p>
    <w:p w14:paraId="7E539B8F" w14:textId="47A70F0E" w:rsidR="00F05D07" w:rsidRPr="007C5ECB" w:rsidRDefault="00F05D07" w:rsidP="00F05D07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«Гос</w:t>
      </w:r>
      <w:r w:rsidR="007C5ECB" w:rsidRPr="007C5ECB">
        <w:rPr>
          <w:szCs w:val="28"/>
        </w:rPr>
        <w:t>ударственное</w:t>
      </w:r>
      <w:r w:rsidRPr="007C5ECB">
        <w:rPr>
          <w:szCs w:val="28"/>
        </w:rPr>
        <w:t xml:space="preserve"> управление и гражданское общество» (ЭГП – 97,0 %)</w:t>
      </w:r>
    </w:p>
    <w:p w14:paraId="6883C3AB" w14:textId="77777777" w:rsidR="00F05D07" w:rsidRPr="007C5ECB" w:rsidRDefault="00F05D07" w:rsidP="00F05D07">
      <w:pPr>
        <w:tabs>
          <w:tab w:val="left" w:pos="993"/>
        </w:tabs>
        <w:autoSpaceDE w:val="0"/>
        <w:autoSpaceDN w:val="0"/>
        <w:adjustRightInd w:val="0"/>
        <w:spacing w:before="120" w:after="120"/>
        <w:ind w:left="709" w:firstLine="0"/>
        <w:rPr>
          <w:szCs w:val="28"/>
        </w:rPr>
      </w:pPr>
      <w:r w:rsidRPr="007C5ECB">
        <w:rPr>
          <w:szCs w:val="28"/>
        </w:rPr>
        <w:t>Средняя эффективность отмечается у 8 программ:</w:t>
      </w:r>
    </w:p>
    <w:p w14:paraId="21F667BE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«Культура» (ЭГП – 96,4 %);</w:t>
      </w:r>
    </w:p>
    <w:p w14:paraId="04F697BA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«Занятость и труд» (ЭГП – 95,7 %);</w:t>
      </w:r>
    </w:p>
    <w:p w14:paraId="03277ACA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«Здравоохранение» (ЭГП – 95,4 %)</w:t>
      </w:r>
    </w:p>
    <w:p w14:paraId="1C9E3E0C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«Рыбное и сельское хозяйство» (ЭГП – 94,8 %);</w:t>
      </w:r>
    </w:p>
    <w:p w14:paraId="7DBF21B5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«Экономический потенциал» (ЭГП – 94,6 %);</w:t>
      </w:r>
    </w:p>
    <w:p w14:paraId="287D1B4F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«Физическая культура и спорт» (ЭГП – 93,8 %);</w:t>
      </w:r>
    </w:p>
    <w:p w14:paraId="628D7798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>«Общественная безопасность» (ЭГП – 93,1 %);</w:t>
      </w:r>
    </w:p>
    <w:p w14:paraId="6831F083" w14:textId="77777777" w:rsidR="00F05D07" w:rsidRPr="007C5ECB" w:rsidRDefault="00F05D07" w:rsidP="00F05D0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7C5ECB">
        <w:rPr>
          <w:szCs w:val="28"/>
        </w:rPr>
        <w:t xml:space="preserve"> «Финансы» (ЭГП – 92,5 %).</w:t>
      </w:r>
    </w:p>
    <w:p w14:paraId="5EE4B9D0" w14:textId="77777777" w:rsidR="00F05D07" w:rsidRPr="007C5ECB" w:rsidRDefault="00F05D07" w:rsidP="00F05D07">
      <w:pPr>
        <w:autoSpaceDE w:val="0"/>
        <w:autoSpaceDN w:val="0"/>
        <w:adjustRightInd w:val="0"/>
        <w:rPr>
          <w:szCs w:val="28"/>
        </w:rPr>
      </w:pPr>
      <w:proofErr w:type="spellStart"/>
      <w:r w:rsidRPr="007C5ECB">
        <w:rPr>
          <w:szCs w:val="28"/>
        </w:rPr>
        <w:t>Недостижение</w:t>
      </w:r>
      <w:proofErr w:type="spellEnd"/>
      <w:r w:rsidRPr="007C5ECB">
        <w:rPr>
          <w:szCs w:val="28"/>
        </w:rPr>
        <w:t xml:space="preserve"> целевых значений показателей, а также невыполнение всех запланированных мероприятий в установленные сроки не позволило указанным программам достичь высокого уровня эффективности.</w:t>
      </w:r>
    </w:p>
    <w:p w14:paraId="07B953CE" w14:textId="77777777" w:rsidR="00F05D07" w:rsidRPr="00FA5978" w:rsidRDefault="00F05D07" w:rsidP="00F05D07">
      <w:pPr>
        <w:autoSpaceDE w:val="0"/>
        <w:autoSpaceDN w:val="0"/>
        <w:adjustRightInd w:val="0"/>
        <w:rPr>
          <w:szCs w:val="28"/>
        </w:rPr>
      </w:pPr>
      <w:r w:rsidRPr="007C5ECB">
        <w:rPr>
          <w:szCs w:val="28"/>
        </w:rPr>
        <w:t>3 программы реализованы с уровнем эффективности ниже среднего.</w:t>
      </w:r>
    </w:p>
    <w:p w14:paraId="6BD0C73F" w14:textId="77777777" w:rsidR="00F05D07" w:rsidRDefault="00F05D07" w:rsidP="00F05D07">
      <w:pPr>
        <w:jc w:val="right"/>
        <w:rPr>
          <w:sz w:val="24"/>
        </w:rPr>
        <w:sectPr w:rsidR="00F05D07" w:rsidSect="00BB4B16">
          <w:headerReference w:type="default" r:id="rId14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378ABAE" w14:textId="77777777" w:rsidR="00F05D07" w:rsidRDefault="00F05D07" w:rsidP="00F05D07">
      <w:pPr>
        <w:ind w:right="-598"/>
        <w:jc w:val="right"/>
        <w:rPr>
          <w:sz w:val="24"/>
        </w:rPr>
      </w:pPr>
      <w:r w:rsidRPr="00252F01">
        <w:rPr>
          <w:sz w:val="24"/>
        </w:rPr>
        <w:lastRenderedPageBreak/>
        <w:t>Таблица 2</w:t>
      </w:r>
    </w:p>
    <w:p w14:paraId="075F0C5A" w14:textId="77777777" w:rsidR="00F05D07" w:rsidRDefault="00F05D07" w:rsidP="00F05D07">
      <w:pPr>
        <w:ind w:right="-598"/>
        <w:jc w:val="right"/>
        <w:rPr>
          <w:sz w:val="24"/>
        </w:rPr>
      </w:pPr>
    </w:p>
    <w:tbl>
      <w:tblPr>
        <w:tblW w:w="15158" w:type="dxa"/>
        <w:jc w:val="center"/>
        <w:tblLook w:val="04A0" w:firstRow="1" w:lastRow="0" w:firstColumn="1" w:lastColumn="0" w:noHBand="0" w:noVBand="1"/>
      </w:tblPr>
      <w:tblGrid>
        <w:gridCol w:w="486"/>
        <w:gridCol w:w="7613"/>
        <w:gridCol w:w="1358"/>
        <w:gridCol w:w="1358"/>
        <w:gridCol w:w="1406"/>
        <w:gridCol w:w="1593"/>
        <w:gridCol w:w="1344"/>
      </w:tblGrid>
      <w:tr w:rsidR="00F05D07" w:rsidRPr="007C5ECB" w14:paraId="67F4E7CA" w14:textId="77777777" w:rsidTr="002F6A57">
        <w:trPr>
          <w:trHeight w:val="100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9FE0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43A5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Государственная программа, подпрограмма, ответственный исполнитель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AE0AA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К1 (степень достижения показателей)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BDCA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К2 (динамика значений показателей)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2B4AB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К3 (степень выполнения мероприятий)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C622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ЭГП (интегральный показатель эффективности)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E12B" w14:textId="77777777" w:rsidR="00F05D07" w:rsidRPr="007C5ECB" w:rsidRDefault="00F05D07" w:rsidP="002F6A5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5ECB">
              <w:rPr>
                <w:color w:val="000000"/>
                <w:sz w:val="20"/>
                <w:szCs w:val="20"/>
              </w:rPr>
              <w:t>Оценка</w:t>
            </w:r>
          </w:p>
        </w:tc>
      </w:tr>
      <w:tr w:rsidR="00F05D07" w:rsidRPr="007C5ECB" w14:paraId="4B1A26A7" w14:textId="77777777" w:rsidTr="00CF5AEB">
        <w:trPr>
          <w:trHeight w:val="45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0ED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F732" w14:textId="77777777" w:rsidR="00F05D07" w:rsidRPr="007C5ECB" w:rsidRDefault="00F05D07" w:rsidP="002F6A57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7C5ECB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DBFD80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95,4%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2598E427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100,5%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5757F09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89,4%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97786D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94,1%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F3C6B0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3AD0F95A" w14:textId="77777777" w:rsidTr="00CF5AEB">
        <w:trPr>
          <w:trHeight w:val="57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B0E8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7EC3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«Информационное общество» (</w:t>
            </w:r>
            <w:proofErr w:type="spellStart"/>
            <w:r w:rsidRPr="007C5ECB">
              <w:rPr>
                <w:sz w:val="20"/>
                <w:szCs w:val="20"/>
              </w:rPr>
              <w:t>Минцифра</w:t>
            </w:r>
            <w:proofErr w:type="spellEnd"/>
            <w:r w:rsidRPr="007C5ECB">
              <w:rPr>
                <w:sz w:val="20"/>
                <w:szCs w:val="20"/>
              </w:rPr>
              <w:t xml:space="preserve"> МО)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284FC772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99,8%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17A33AA1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105,3%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0D00A3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94,0%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49DE585D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98,7%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1F0B808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Высокая</w:t>
            </w:r>
          </w:p>
        </w:tc>
      </w:tr>
      <w:tr w:rsidR="00F05D07" w:rsidRPr="007C5ECB" w14:paraId="268982AF" w14:textId="77777777" w:rsidTr="00CF5AEB">
        <w:trPr>
          <w:trHeight w:val="45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C1A4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2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A984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«Образование и наука» (</w:t>
            </w:r>
            <w:proofErr w:type="spellStart"/>
            <w:r w:rsidRPr="007C5ECB">
              <w:rPr>
                <w:sz w:val="20"/>
                <w:szCs w:val="20"/>
              </w:rPr>
              <w:t>Минобр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13EAE707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99,6%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35ADA241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101,7%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365F9E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93,6%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DFF1F97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97,2%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3F6BD2F9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Высокая</w:t>
            </w:r>
          </w:p>
        </w:tc>
      </w:tr>
      <w:tr w:rsidR="00F05D07" w:rsidRPr="007C5ECB" w14:paraId="0CB56168" w14:textId="77777777" w:rsidTr="00CF5AEB">
        <w:trPr>
          <w:trHeight w:val="48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4074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3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638F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 xml:space="preserve">Государственная программа Мурманской области «Социальная поддержка» (Министерство труда и </w:t>
            </w:r>
            <w:proofErr w:type="spellStart"/>
            <w:r w:rsidRPr="007C5ECB">
              <w:rPr>
                <w:sz w:val="20"/>
                <w:szCs w:val="20"/>
              </w:rPr>
              <w:t>соцразвития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5D980804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98,5%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2C785B98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105,5%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5E9D67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90,4%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68C94152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97,1%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0BDBDCE1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Высокая</w:t>
            </w:r>
          </w:p>
        </w:tc>
      </w:tr>
      <w:tr w:rsidR="00F05D07" w:rsidRPr="007C5ECB" w14:paraId="5D7281B9" w14:textId="77777777" w:rsidTr="00CF5AEB">
        <w:trPr>
          <w:trHeight w:val="48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9911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4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E32F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«Государственное управление и гражданское общество» (Аппарат ПМО)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8BA833F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99,3%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264A0DC9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102,3%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FFA247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92,8%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4701317E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97,0%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14:paraId="13D4955B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Высокая</w:t>
            </w:r>
          </w:p>
        </w:tc>
      </w:tr>
      <w:tr w:rsidR="00F05D07" w:rsidRPr="007C5ECB" w14:paraId="5EE17E08" w14:textId="77777777" w:rsidTr="00CF5AEB">
        <w:trPr>
          <w:trHeight w:val="39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82DB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5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CD92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«Культура» (</w:t>
            </w:r>
            <w:proofErr w:type="spellStart"/>
            <w:r w:rsidRPr="007C5ECB">
              <w:rPr>
                <w:sz w:val="20"/>
                <w:szCs w:val="20"/>
              </w:rPr>
              <w:t>Минкульт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4234DA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0BF26EB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103,7%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8EC61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93,9%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5319A1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96,4%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0B2042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64B1C6DA" w14:textId="77777777" w:rsidTr="00CF5AEB">
        <w:trPr>
          <w:trHeight w:val="4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F511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6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3FD5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 xml:space="preserve">Государственная программа Мурманской области «Занятость и труд» (Министерство труда и </w:t>
            </w:r>
            <w:proofErr w:type="spellStart"/>
            <w:r w:rsidRPr="007C5ECB">
              <w:rPr>
                <w:sz w:val="20"/>
                <w:szCs w:val="20"/>
              </w:rPr>
              <w:t>соцразвития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9779C3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92,2%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23270E33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103,2%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C5884A2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94,1%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AE506FA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95,7%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4993A4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567F349B" w14:textId="77777777" w:rsidTr="00CF5AEB">
        <w:trPr>
          <w:trHeight w:val="40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95F4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7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75AD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«Здравоохранение» (Минздрав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ED644F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97,2%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D218143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102,3%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968E227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90,0%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B89A8F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95,4%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0E0FC1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0D251458" w14:textId="77777777" w:rsidTr="00CF5AEB">
        <w:trPr>
          <w:trHeight w:val="4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01D0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6ACA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«Рыбное и сельское хозяйство» (Минприроды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CF9CC9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93,8%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662B2EA6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98,9%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A97611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94,6%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D2322E5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94,8%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FE9849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39624FC3" w14:textId="77777777" w:rsidTr="00CF5AEB">
        <w:trPr>
          <w:trHeight w:val="48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360E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98DD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«Экономический потенциал» (</w:t>
            </w:r>
            <w:proofErr w:type="spellStart"/>
            <w:r w:rsidRPr="007C5ECB">
              <w:rPr>
                <w:sz w:val="20"/>
                <w:szCs w:val="20"/>
              </w:rPr>
              <w:t>МинАрктики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5B1D580F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100,0%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FC8285F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91,6%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CC16DBA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95,9%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9B284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94,6%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65E080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b/>
                <w:bCs/>
                <w:sz w:val="20"/>
                <w:szCs w:val="20"/>
              </w:rPr>
              <w:t>Средняя</w:t>
            </w:r>
          </w:p>
        </w:tc>
      </w:tr>
      <w:tr w:rsidR="00F05D07" w:rsidRPr="007C5ECB" w14:paraId="01BD3CBD" w14:textId="77777777" w:rsidTr="00CF5AEB">
        <w:trPr>
          <w:trHeight w:val="49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CDB3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080B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«Физическая культура и спорт» (</w:t>
            </w:r>
            <w:proofErr w:type="spellStart"/>
            <w:r w:rsidRPr="007C5ECB">
              <w:rPr>
                <w:sz w:val="20"/>
                <w:szCs w:val="20"/>
              </w:rPr>
              <w:t>Минспорт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08B7AC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92,1%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1F28DB1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102,5%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32B83D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89,5%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D2B63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93,8%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A5C681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44118303" w14:textId="77777777" w:rsidTr="00CF5AEB">
        <w:trPr>
          <w:trHeight w:val="4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CFD0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11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3E65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«Общественная безопасность» (</w:t>
            </w:r>
            <w:proofErr w:type="spellStart"/>
            <w:r w:rsidRPr="007C5ECB">
              <w:rPr>
                <w:sz w:val="20"/>
                <w:szCs w:val="20"/>
              </w:rPr>
              <w:t>Минрегбез</w:t>
            </w:r>
            <w:proofErr w:type="spellEnd"/>
            <w:r w:rsidRPr="007C5ECB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BAA5C0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91,6%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75704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94,9%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61DA44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95,5%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9FF478E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93,1%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68FF28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5F925574" w14:textId="77777777" w:rsidTr="00CF5AEB">
        <w:trPr>
          <w:trHeight w:val="40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EFFD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12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BE51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«Финансы» (Минфин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69BD136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93,9%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B5EFC3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89,4%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8BC024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97,4%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B1247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92,5%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D15ABA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Средняя</w:t>
            </w:r>
          </w:p>
        </w:tc>
      </w:tr>
      <w:tr w:rsidR="00F05D07" w:rsidRPr="007C5ECB" w14:paraId="231C91D9" w14:textId="77777777" w:rsidTr="00CF5AEB">
        <w:trPr>
          <w:trHeight w:val="42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32B6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13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3559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«Транспортная система» (Минтранс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4526913E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99,0%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739EBF60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100,5%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181"/>
            <w:vAlign w:val="center"/>
            <w:hideMark/>
          </w:tcPr>
          <w:p w14:paraId="2C20CD7F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76,4%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78524A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90,5%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F9897E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Ниже среднего</w:t>
            </w:r>
          </w:p>
        </w:tc>
      </w:tr>
      <w:tr w:rsidR="00F05D07" w:rsidRPr="007C5ECB" w14:paraId="1F0547BF" w14:textId="77777777" w:rsidTr="00CF5AEB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0694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14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1FF4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«Комфортное жилье и городская среда» (Минстрой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CF925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92,4%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14:paraId="502E882C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99,3%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181"/>
            <w:vAlign w:val="center"/>
            <w:hideMark/>
          </w:tcPr>
          <w:p w14:paraId="242AD508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75,8%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3B4D9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87,9%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01CE189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Ниже среднего</w:t>
            </w:r>
          </w:p>
        </w:tc>
      </w:tr>
      <w:tr w:rsidR="00F05D07" w:rsidRPr="007C5ECB" w14:paraId="77D1DD6E" w14:textId="77777777" w:rsidTr="00CF5AEB">
        <w:trPr>
          <w:trHeight w:val="42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3158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15</w:t>
            </w:r>
          </w:p>
        </w:tc>
        <w:tc>
          <w:tcPr>
            <w:tcW w:w="7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D755" w14:textId="77777777" w:rsidR="00F05D07" w:rsidRPr="007C5ECB" w:rsidRDefault="00F05D07" w:rsidP="002F6A57">
            <w:pPr>
              <w:ind w:firstLine="0"/>
              <w:jc w:val="left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Государственная программа Мурманской области «Природные ресурсы и экология» (Минприроды МО)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E6CB3F8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87,1%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B40EDA2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92,9%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181"/>
            <w:vAlign w:val="center"/>
            <w:hideMark/>
          </w:tcPr>
          <w:p w14:paraId="04E95711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83,9%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BDDA5B" w14:textId="77777777" w:rsidR="00F05D07" w:rsidRPr="007C5ECB" w:rsidRDefault="00F05D07" w:rsidP="002F6A57">
            <w:pPr>
              <w:ind w:firstLine="0"/>
              <w:jc w:val="center"/>
              <w:rPr>
                <w:sz w:val="20"/>
                <w:szCs w:val="20"/>
              </w:rPr>
            </w:pPr>
            <w:r w:rsidRPr="007C5ECB">
              <w:rPr>
                <w:sz w:val="20"/>
                <w:szCs w:val="20"/>
              </w:rPr>
              <w:t>86,9%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C6E8ADC" w14:textId="77777777" w:rsidR="00F05D07" w:rsidRPr="007C5ECB" w:rsidRDefault="00F05D07" w:rsidP="002F6A57">
            <w:pPr>
              <w:ind w:firstLin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C5ECB">
              <w:rPr>
                <w:b/>
                <w:bCs/>
                <w:sz w:val="20"/>
                <w:szCs w:val="20"/>
                <w:u w:val="single"/>
              </w:rPr>
              <w:t>Ниже среднего</w:t>
            </w:r>
          </w:p>
        </w:tc>
      </w:tr>
    </w:tbl>
    <w:p w14:paraId="567511EF" w14:textId="77777777" w:rsidR="00F05D07" w:rsidRDefault="00F05D07" w:rsidP="00F05D07">
      <w:pPr>
        <w:jc w:val="left"/>
        <w:rPr>
          <w:sz w:val="24"/>
        </w:rPr>
      </w:pPr>
    </w:p>
    <w:p w14:paraId="643DF269" w14:textId="77777777" w:rsidR="00F05D07" w:rsidRDefault="00F05D07" w:rsidP="00F05D07">
      <w:pPr>
        <w:autoSpaceDE w:val="0"/>
        <w:autoSpaceDN w:val="0"/>
        <w:adjustRightInd w:val="0"/>
        <w:ind w:firstLine="540"/>
        <w:rPr>
          <w:szCs w:val="28"/>
        </w:rPr>
        <w:sectPr w:rsidR="00F05D07" w:rsidSect="00BB4B16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14:paraId="37899843" w14:textId="77777777" w:rsidR="00F05D07" w:rsidRDefault="00F05D07" w:rsidP="00F05D07">
      <w:pPr>
        <w:rPr>
          <w:szCs w:val="28"/>
        </w:rPr>
      </w:pPr>
    </w:p>
    <w:p w14:paraId="34A30E51" w14:textId="77777777" w:rsidR="00F05D07" w:rsidRPr="00855CDA" w:rsidRDefault="00F05D07" w:rsidP="00F05D07">
      <w:pPr>
        <w:pStyle w:val="1"/>
      </w:pPr>
      <w:r>
        <w:t>5. </w:t>
      </w:r>
      <w:r w:rsidRPr="00855CDA">
        <w:t>Выводы и рекомендации</w:t>
      </w:r>
    </w:p>
    <w:p w14:paraId="6E691A4E" w14:textId="77777777" w:rsidR="00F05D07" w:rsidRPr="00535707" w:rsidRDefault="00F05D07" w:rsidP="00F05D07">
      <w:pPr>
        <w:pStyle w:val="ConsPlusCell"/>
        <w:ind w:firstLine="709"/>
        <w:jc w:val="both"/>
        <w:rPr>
          <w:rStyle w:val="FontStyle14"/>
          <w:b/>
        </w:rPr>
      </w:pPr>
    </w:p>
    <w:p w14:paraId="4B24C2FD" w14:textId="38330EEF" w:rsidR="00F05D07" w:rsidRPr="00C7478C" w:rsidRDefault="00F05D07" w:rsidP="00A615CD">
      <w:pPr>
        <w:autoSpaceDE w:val="0"/>
        <w:autoSpaceDN w:val="0"/>
        <w:adjustRightInd w:val="0"/>
        <w:rPr>
          <w:rStyle w:val="FontStyle14"/>
          <w:sz w:val="28"/>
          <w:szCs w:val="28"/>
        </w:rPr>
      </w:pPr>
      <w:r w:rsidRPr="00C7478C">
        <w:rPr>
          <w:szCs w:val="28"/>
        </w:rPr>
        <w:t xml:space="preserve">В целом по всем государственным программам Мурманской области за 2024 год </w:t>
      </w:r>
      <w:r w:rsidRPr="00C7478C">
        <w:rPr>
          <w:b/>
          <w:szCs w:val="28"/>
        </w:rPr>
        <w:t xml:space="preserve">интегральный показатель эффективности составил </w:t>
      </w:r>
      <w:bookmarkStart w:id="1" w:name="_Hlk132299303"/>
      <w:r w:rsidRPr="00C7478C">
        <w:rPr>
          <w:b/>
          <w:szCs w:val="28"/>
        </w:rPr>
        <w:t xml:space="preserve">94,1 % </w:t>
      </w:r>
      <w:bookmarkEnd w:id="1"/>
      <w:r w:rsidRPr="00C7478C">
        <w:rPr>
          <w:szCs w:val="28"/>
        </w:rPr>
        <w:t xml:space="preserve">(в 2023 году - 93,7 %), что выше на 0,4 </w:t>
      </w:r>
      <w:proofErr w:type="spellStart"/>
      <w:r w:rsidRPr="00C7478C">
        <w:rPr>
          <w:szCs w:val="28"/>
        </w:rPr>
        <w:t>п.п</w:t>
      </w:r>
      <w:proofErr w:type="spellEnd"/>
      <w:r w:rsidRPr="00C7478C">
        <w:rPr>
          <w:szCs w:val="28"/>
        </w:rPr>
        <w:t>., чем за 2023 год и соответствует средней оценке (в 2023 году – средняя оценка).</w:t>
      </w:r>
      <w:r w:rsidR="00A615CD">
        <w:rPr>
          <w:szCs w:val="28"/>
        </w:rPr>
        <w:t xml:space="preserve"> </w:t>
      </w:r>
      <w:r w:rsidRPr="00C7478C">
        <w:rPr>
          <w:rStyle w:val="FontStyle14"/>
          <w:sz w:val="28"/>
          <w:szCs w:val="28"/>
        </w:rPr>
        <w:t xml:space="preserve">Сохраняющаяся положительная динамика значений показателей к 2023 году по </w:t>
      </w:r>
      <w:r w:rsidR="00D8186F">
        <w:rPr>
          <w:rStyle w:val="FontStyle14"/>
          <w:sz w:val="28"/>
          <w:szCs w:val="28"/>
        </w:rPr>
        <w:t>большей части</w:t>
      </w:r>
      <w:r w:rsidRPr="00C7478C">
        <w:rPr>
          <w:rStyle w:val="FontStyle14"/>
          <w:sz w:val="28"/>
          <w:szCs w:val="28"/>
        </w:rPr>
        <w:t xml:space="preserve"> государственных программ свидетельствует о масштабных улучшениях по направлениям социально-экономическ</w:t>
      </w:r>
      <w:r w:rsidR="00A615CD">
        <w:rPr>
          <w:rStyle w:val="FontStyle14"/>
          <w:sz w:val="28"/>
          <w:szCs w:val="28"/>
        </w:rPr>
        <w:t>ого развития Мурманской области</w:t>
      </w:r>
      <w:r w:rsidRPr="00C7478C">
        <w:rPr>
          <w:rStyle w:val="FontStyle14"/>
          <w:sz w:val="28"/>
          <w:szCs w:val="28"/>
        </w:rPr>
        <w:t>.</w:t>
      </w:r>
    </w:p>
    <w:p w14:paraId="5C592EFD" w14:textId="76FDBCA1" w:rsidR="00F05D07" w:rsidRPr="004E1820" w:rsidRDefault="00F05D07" w:rsidP="00F05D0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C7478C">
        <w:rPr>
          <w:rStyle w:val="FontStyle14"/>
          <w:sz w:val="28"/>
          <w:szCs w:val="28"/>
        </w:rPr>
        <w:t xml:space="preserve">При подготовке годовых отчетов о ходе реализации государственных программ исполнительными органами Мурманской области не в полной мере проводится анализ причин невыполнения отдельных мероприятий, </w:t>
      </w:r>
      <w:proofErr w:type="spellStart"/>
      <w:r w:rsidRPr="00C7478C">
        <w:rPr>
          <w:rStyle w:val="FontStyle14"/>
          <w:sz w:val="28"/>
          <w:szCs w:val="28"/>
        </w:rPr>
        <w:t>недостижения</w:t>
      </w:r>
      <w:proofErr w:type="spellEnd"/>
      <w:r w:rsidRPr="00C7478C">
        <w:rPr>
          <w:rStyle w:val="FontStyle14"/>
          <w:sz w:val="28"/>
          <w:szCs w:val="28"/>
        </w:rPr>
        <w:t xml:space="preserve"> плановых значений ряда показателей или отсутствия положительной их динамики в сравнении с 2023 годом, а также не осуществляется выработка мер по улучшению значений показателей (в отдельных случаях – по повышению эффективности реализации государственной программы в целом).</w:t>
      </w:r>
    </w:p>
    <w:p w14:paraId="646C79E6" w14:textId="77777777" w:rsidR="00F05D07" w:rsidRDefault="00F05D07" w:rsidP="00F05D0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4E1820">
        <w:rPr>
          <w:rStyle w:val="FontStyle14"/>
          <w:sz w:val="28"/>
          <w:szCs w:val="28"/>
        </w:rPr>
        <w:t xml:space="preserve">Анализ итогов реализации государственных программ Мурманской области свидетельствует о том, что невысокие оценки по компонентам интегрального показателя эффективности требуют повышения качества </w:t>
      </w:r>
      <w:r>
        <w:rPr>
          <w:rStyle w:val="FontStyle14"/>
          <w:sz w:val="28"/>
          <w:szCs w:val="28"/>
        </w:rPr>
        <w:t>контроля и</w:t>
      </w:r>
      <w:r w:rsidRPr="004E1820">
        <w:rPr>
          <w:rStyle w:val="FontStyle14"/>
          <w:sz w:val="28"/>
          <w:szCs w:val="28"/>
        </w:rPr>
        <w:t xml:space="preserve"> тщательной проработки рисков реализации мероприятий и мер по их нивелированию. Так, сформулированные в государственных программах Мурманской области риски не учитывали всех возникших ситуаций, в связи с чем своевременная корректировка значений и принятие необходимых мер своевременно не проводились.</w:t>
      </w:r>
    </w:p>
    <w:p w14:paraId="6AE173CE" w14:textId="36C364F3" w:rsidR="00A615CD" w:rsidRDefault="00F05D07" w:rsidP="00F05D0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Кроме того, низкие оценки по степени достижения показателей (критерий К1) некоторых государственных программ обусловлены несвоевременной корректировкой (или ее отсутствием) плановых значений показателей, декомпозированных в рамках соглашений</w:t>
      </w:r>
      <w:r w:rsidRPr="00706420">
        <w:rPr>
          <w:rStyle w:val="FontStyle14"/>
          <w:sz w:val="28"/>
          <w:szCs w:val="28"/>
        </w:rPr>
        <w:t xml:space="preserve"> о реализации на территории</w:t>
      </w:r>
      <w:r>
        <w:rPr>
          <w:rStyle w:val="FontStyle14"/>
          <w:sz w:val="28"/>
          <w:szCs w:val="28"/>
        </w:rPr>
        <w:t xml:space="preserve"> региона </w:t>
      </w:r>
      <w:r w:rsidRPr="00706420">
        <w:rPr>
          <w:rStyle w:val="FontStyle14"/>
          <w:sz w:val="28"/>
          <w:szCs w:val="28"/>
        </w:rPr>
        <w:t xml:space="preserve">государственных программ </w:t>
      </w:r>
      <w:r>
        <w:rPr>
          <w:rStyle w:val="FontStyle14"/>
          <w:sz w:val="28"/>
          <w:szCs w:val="28"/>
        </w:rPr>
        <w:t>Мурманской области</w:t>
      </w:r>
      <w:r w:rsidRPr="00706420">
        <w:rPr>
          <w:rStyle w:val="FontStyle14"/>
          <w:sz w:val="28"/>
          <w:szCs w:val="28"/>
        </w:rPr>
        <w:t>, направленных на достижение целей и показателей</w:t>
      </w:r>
      <w:r>
        <w:rPr>
          <w:rStyle w:val="FontStyle14"/>
          <w:sz w:val="28"/>
          <w:szCs w:val="28"/>
        </w:rPr>
        <w:t xml:space="preserve"> </w:t>
      </w:r>
      <w:r w:rsidRPr="00706420">
        <w:rPr>
          <w:rStyle w:val="FontStyle14"/>
          <w:sz w:val="28"/>
          <w:szCs w:val="28"/>
        </w:rPr>
        <w:t>государственн</w:t>
      </w:r>
      <w:r>
        <w:rPr>
          <w:rStyle w:val="FontStyle14"/>
          <w:sz w:val="28"/>
          <w:szCs w:val="28"/>
        </w:rPr>
        <w:t>ых</w:t>
      </w:r>
      <w:r w:rsidRPr="00706420">
        <w:rPr>
          <w:rStyle w:val="FontStyle14"/>
          <w:sz w:val="28"/>
          <w:szCs w:val="28"/>
        </w:rPr>
        <w:t xml:space="preserve"> программ</w:t>
      </w:r>
      <w:r>
        <w:rPr>
          <w:rStyle w:val="FontStyle14"/>
          <w:sz w:val="28"/>
          <w:szCs w:val="28"/>
        </w:rPr>
        <w:t xml:space="preserve"> Российской Федерации, или иных «финансовых» соглашений.</w:t>
      </w:r>
      <w:r w:rsidR="0012295A">
        <w:rPr>
          <w:rStyle w:val="FontStyle14"/>
          <w:sz w:val="28"/>
          <w:szCs w:val="28"/>
        </w:rPr>
        <w:t xml:space="preserve"> </w:t>
      </w:r>
      <w:r w:rsidR="00A615CD">
        <w:rPr>
          <w:rStyle w:val="FontStyle14"/>
          <w:sz w:val="28"/>
          <w:szCs w:val="28"/>
        </w:rPr>
        <w:t>П</w:t>
      </w:r>
      <w:r w:rsidR="00A615CD" w:rsidRPr="00A615CD">
        <w:rPr>
          <w:rStyle w:val="FontStyle14"/>
          <w:sz w:val="28"/>
          <w:szCs w:val="28"/>
        </w:rPr>
        <w:t xml:space="preserve">о отдельным государственным программам отмечаются случаи установления </w:t>
      </w:r>
      <w:r w:rsidR="00A615CD">
        <w:rPr>
          <w:rStyle w:val="FontStyle14"/>
          <w:sz w:val="28"/>
          <w:szCs w:val="28"/>
        </w:rPr>
        <w:t>низких</w:t>
      </w:r>
      <w:r w:rsidR="00A615CD" w:rsidRPr="00A615CD">
        <w:rPr>
          <w:rStyle w:val="FontStyle14"/>
          <w:sz w:val="28"/>
          <w:szCs w:val="28"/>
        </w:rPr>
        <w:t xml:space="preserve"> плановых значений показателей</w:t>
      </w:r>
      <w:r w:rsidR="00A615CD">
        <w:rPr>
          <w:rStyle w:val="FontStyle14"/>
          <w:sz w:val="28"/>
          <w:szCs w:val="28"/>
        </w:rPr>
        <w:t xml:space="preserve">, что приводит к их значительному перевыполнению. Динамика таких показателей по итогам 2023 и 2024 годов в значительной степени перевыполнена, при этом плановые значения </w:t>
      </w:r>
      <w:r w:rsidR="0012295A">
        <w:rPr>
          <w:rStyle w:val="FontStyle14"/>
          <w:sz w:val="28"/>
          <w:szCs w:val="28"/>
        </w:rPr>
        <w:t>объективно не скорректированы, что свидетельствует о неточном прогнозировании.</w:t>
      </w:r>
    </w:p>
    <w:p w14:paraId="4EC3CAC1" w14:textId="12D8D38A" w:rsidR="0012295A" w:rsidRPr="00706420" w:rsidRDefault="0012295A" w:rsidP="00F05D0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12295A">
        <w:rPr>
          <w:rStyle w:val="FontStyle14"/>
          <w:sz w:val="28"/>
          <w:szCs w:val="28"/>
        </w:rPr>
        <w:t xml:space="preserve">В ряде случаев на результаты оценки государственных программ по критерию К3 негативно повлияло низкое качество планирования содержания и ожидаемых результатов реализации мероприятий. По причине несвоевременного (отсутствия) уточнения плановых объемов оказания государственных услуг, краткой характеристики и результатов мероприятий по укреплению материально-технической базы фактические результаты реализации </w:t>
      </w:r>
      <w:r w:rsidRPr="0012295A">
        <w:rPr>
          <w:rStyle w:val="FontStyle14"/>
          <w:sz w:val="28"/>
          <w:szCs w:val="28"/>
        </w:rPr>
        <w:lastRenderedPageBreak/>
        <w:t>указанных мероприятий не соответствовали плановым, в результате чего мероприятия были признаны выполненными не в полном объеме.</w:t>
      </w:r>
    </w:p>
    <w:p w14:paraId="6721A32F" w14:textId="03FA4ACC" w:rsidR="00F05D07" w:rsidRPr="004E1820" w:rsidRDefault="00F05D07" w:rsidP="00F05D07">
      <w:pPr>
        <w:rPr>
          <w:color w:val="000000"/>
          <w:szCs w:val="28"/>
        </w:rPr>
      </w:pPr>
      <w:r w:rsidRPr="004E1820">
        <w:rPr>
          <w:b/>
          <w:szCs w:val="28"/>
        </w:rPr>
        <w:t>О</w:t>
      </w:r>
      <w:r w:rsidRPr="004E1820">
        <w:rPr>
          <w:b/>
          <w:color w:val="000000"/>
          <w:szCs w:val="28"/>
        </w:rPr>
        <w:t xml:space="preserve">сновными причинами </w:t>
      </w:r>
      <w:r w:rsidRPr="004E1820">
        <w:rPr>
          <w:b/>
          <w:szCs w:val="28"/>
        </w:rPr>
        <w:t xml:space="preserve">неполного освоения бюджетных средств, направленных на финансирование госпрограмм, </w:t>
      </w:r>
      <w:r w:rsidRPr="004E1820">
        <w:rPr>
          <w:b/>
          <w:color w:val="000000"/>
          <w:szCs w:val="28"/>
        </w:rPr>
        <w:t>невыполнения (выполнения не в полном объеме) отдельных мероприятий и низкой эффективности реализации госпрограмм</w:t>
      </w:r>
      <w:r w:rsidRPr="004E1820">
        <w:rPr>
          <w:color w:val="000000"/>
          <w:szCs w:val="28"/>
        </w:rPr>
        <w:t xml:space="preserve"> являются:</w:t>
      </w:r>
    </w:p>
    <w:p w14:paraId="52C923DE" w14:textId="377DAA0F" w:rsidR="0012295A" w:rsidRDefault="0012295A" w:rsidP="00F05D0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0116D9">
        <w:rPr>
          <w:bCs/>
          <w:szCs w:val="28"/>
        </w:rPr>
        <w:t>изменение численности получателей социальных выплат по сравнению с прогнозными значениями</w:t>
      </w:r>
      <w:r w:rsidR="00131E1E">
        <w:rPr>
          <w:bCs/>
          <w:szCs w:val="28"/>
        </w:rPr>
        <w:t xml:space="preserve"> (влияет на частичное выполнение мероприятий);</w:t>
      </w:r>
    </w:p>
    <w:p w14:paraId="0D8B71CB" w14:textId="57EFE029" w:rsidR="00131E1E" w:rsidRDefault="00131E1E" w:rsidP="00F05D0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0116D9">
        <w:rPr>
          <w:bCs/>
          <w:szCs w:val="28"/>
        </w:rPr>
        <w:t>экономия, сложившаяся по результатам проведения конкурсных процедур и итогам выполнения работ</w:t>
      </w:r>
      <w:r>
        <w:rPr>
          <w:bCs/>
          <w:szCs w:val="28"/>
        </w:rPr>
        <w:t>;</w:t>
      </w:r>
    </w:p>
    <w:p w14:paraId="54434C2D" w14:textId="77777777" w:rsidR="00F05D07" w:rsidRPr="000116D9" w:rsidRDefault="00F05D07" w:rsidP="00F05D0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0116D9">
        <w:rPr>
          <w:bCs/>
          <w:szCs w:val="28"/>
        </w:rPr>
        <w:t>перенос сроков реализации мероприятий, в том числе по причине отсутствия положительных заключений государственной экспертизы и разрешительной документации на проектирование и реконструкцию объектов;</w:t>
      </w:r>
    </w:p>
    <w:p w14:paraId="34CE2DE5" w14:textId="28777A4F" w:rsidR="00F05D07" w:rsidRPr="000116D9" w:rsidRDefault="00F05D07" w:rsidP="00F05D0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0116D9">
        <w:rPr>
          <w:bCs/>
          <w:szCs w:val="28"/>
        </w:rPr>
        <w:t>изменение сроков реализации ранее запланированных мероприятий или их отмена.</w:t>
      </w:r>
    </w:p>
    <w:p w14:paraId="38F837BF" w14:textId="77777777" w:rsidR="00F05D07" w:rsidRPr="004E1820" w:rsidRDefault="00F05D07" w:rsidP="00F05D07">
      <w:pPr>
        <w:pStyle w:val="ConsPlusCell"/>
        <w:ind w:firstLine="709"/>
        <w:jc w:val="both"/>
        <w:rPr>
          <w:rStyle w:val="FontStyle14"/>
          <w:b/>
          <w:sz w:val="28"/>
          <w:szCs w:val="28"/>
        </w:rPr>
      </w:pPr>
      <w:r w:rsidRPr="004E1820">
        <w:rPr>
          <w:rStyle w:val="FontStyle14"/>
          <w:b/>
          <w:sz w:val="28"/>
          <w:szCs w:val="28"/>
        </w:rPr>
        <w:t>В целях повышения эффективности реализации государственных программ исполнительным органам Мурманской области,</w:t>
      </w:r>
      <w:r w:rsidRPr="004E1820">
        <w:rPr>
          <w:b/>
          <w:color w:val="000000"/>
        </w:rPr>
        <w:t xml:space="preserve"> отвечающим за выполнение мероприятий государственных программ Мурманской области,</w:t>
      </w:r>
      <w:r w:rsidRPr="004E1820">
        <w:rPr>
          <w:rStyle w:val="FontStyle14"/>
          <w:b/>
          <w:sz w:val="28"/>
          <w:szCs w:val="28"/>
        </w:rPr>
        <w:t xml:space="preserve"> в последующие периоды рекомендуется: </w:t>
      </w:r>
    </w:p>
    <w:p w14:paraId="257F6F82" w14:textId="11F44173" w:rsidR="00F05D07" w:rsidRPr="00025909" w:rsidRDefault="00F05D07" w:rsidP="00F05D07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025909">
        <w:rPr>
          <w:bCs/>
          <w:szCs w:val="28"/>
        </w:rPr>
        <w:t>1. Учесть результаты реализации государственных программ Мурманской области за 202</w:t>
      </w:r>
      <w:r w:rsidR="002C0D9B">
        <w:rPr>
          <w:bCs/>
          <w:szCs w:val="28"/>
        </w:rPr>
        <w:t>4</w:t>
      </w:r>
      <w:r w:rsidRPr="00025909">
        <w:rPr>
          <w:bCs/>
          <w:szCs w:val="28"/>
        </w:rPr>
        <w:t xml:space="preserve"> год при их корректировке и дальнейшей реализации.</w:t>
      </w:r>
    </w:p>
    <w:p w14:paraId="24E58EE4" w14:textId="77777777" w:rsidR="00F05D07" w:rsidRPr="00025909" w:rsidRDefault="00F05D07" w:rsidP="00F05D07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025909">
        <w:rPr>
          <w:bCs/>
          <w:szCs w:val="28"/>
        </w:rPr>
        <w:t>2. Обеспечить актуализацию рисков при планировании значений показателей.</w:t>
      </w:r>
    </w:p>
    <w:p w14:paraId="15F6AF99" w14:textId="04109D48" w:rsidR="00F05D07" w:rsidRPr="00025909" w:rsidRDefault="002C0D9B" w:rsidP="00F05D07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3</w:t>
      </w:r>
      <w:r w:rsidR="00F05D07" w:rsidRPr="00025909">
        <w:rPr>
          <w:bCs/>
          <w:szCs w:val="28"/>
        </w:rPr>
        <w:t xml:space="preserve">. Повысить качество мониторинга по достижению показателей государственных программ с целью обеспечения своевременной корректировки их значений, особенно в связи с заключением дополнительных </w:t>
      </w:r>
      <w:r w:rsidR="00F05D07">
        <w:rPr>
          <w:bCs/>
          <w:szCs w:val="28"/>
        </w:rPr>
        <w:t>«</w:t>
      </w:r>
      <w:r w:rsidR="00F05D07" w:rsidRPr="00025909">
        <w:rPr>
          <w:bCs/>
          <w:szCs w:val="28"/>
        </w:rPr>
        <w:t>финансовых</w:t>
      </w:r>
      <w:r w:rsidR="00F05D07">
        <w:rPr>
          <w:bCs/>
          <w:szCs w:val="28"/>
        </w:rPr>
        <w:t>»</w:t>
      </w:r>
      <w:r w:rsidR="00F05D07" w:rsidRPr="00025909">
        <w:rPr>
          <w:bCs/>
          <w:szCs w:val="28"/>
        </w:rPr>
        <w:t xml:space="preserve"> и </w:t>
      </w:r>
      <w:r w:rsidR="00F05D07">
        <w:rPr>
          <w:bCs/>
          <w:szCs w:val="28"/>
        </w:rPr>
        <w:t>«</w:t>
      </w:r>
      <w:r w:rsidR="00F05D07" w:rsidRPr="00025909">
        <w:rPr>
          <w:bCs/>
          <w:szCs w:val="28"/>
        </w:rPr>
        <w:t>нефинансовых</w:t>
      </w:r>
      <w:r w:rsidR="00F05D07">
        <w:rPr>
          <w:bCs/>
          <w:szCs w:val="28"/>
        </w:rPr>
        <w:t>»</w:t>
      </w:r>
      <w:r w:rsidR="00F05D07" w:rsidRPr="00025909">
        <w:rPr>
          <w:bCs/>
          <w:szCs w:val="28"/>
        </w:rPr>
        <w:t xml:space="preserve"> соглашений, в рамках которых декомпозируются соответствующие значения показателей государственных программ Российской Федерации (несвоевременная корректировка приводит к низким оценкам степени достижения показателей </w:t>
      </w:r>
      <w:r w:rsidR="00F05D07">
        <w:rPr>
          <w:bCs/>
          <w:szCs w:val="28"/>
        </w:rPr>
        <w:t>–</w:t>
      </w:r>
      <w:r w:rsidR="00F05D07" w:rsidRPr="00025909">
        <w:rPr>
          <w:bCs/>
          <w:szCs w:val="28"/>
        </w:rPr>
        <w:t xml:space="preserve"> критерий</w:t>
      </w:r>
      <w:r w:rsidR="00F05D07">
        <w:rPr>
          <w:bCs/>
          <w:szCs w:val="28"/>
        </w:rPr>
        <w:t xml:space="preserve"> </w:t>
      </w:r>
      <w:r w:rsidR="00F05D07" w:rsidRPr="00025909">
        <w:rPr>
          <w:bCs/>
          <w:szCs w:val="28"/>
        </w:rPr>
        <w:t>К1).</w:t>
      </w:r>
    </w:p>
    <w:p w14:paraId="7978097A" w14:textId="7D974335" w:rsidR="002C0D9B" w:rsidRDefault="002C0D9B" w:rsidP="00F05D07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4. Повысить качество </w:t>
      </w:r>
      <w:r w:rsidRPr="00CA0B03">
        <w:rPr>
          <w:bCs/>
          <w:szCs w:val="28"/>
        </w:rPr>
        <w:t>мониторинг</w:t>
      </w:r>
      <w:r>
        <w:rPr>
          <w:bCs/>
          <w:szCs w:val="28"/>
        </w:rPr>
        <w:t>а</w:t>
      </w:r>
      <w:r w:rsidRPr="00CA0B03">
        <w:rPr>
          <w:bCs/>
          <w:szCs w:val="28"/>
        </w:rPr>
        <w:t xml:space="preserve"> реализации государственных программ с целью обеспечения своевременности необходимых корректирующих действий</w:t>
      </w:r>
      <w:r>
        <w:rPr>
          <w:bCs/>
          <w:szCs w:val="28"/>
        </w:rPr>
        <w:t>, в том числе в части оценки достаточности объемов бюджетных средств на реализацию мероприятий государственных программ, а также потенциально возможного объема средств, которые не будут использованы в текущем году, для своевременного возврата в областной бюджет и распределения на другие мероприятия государственных программ.</w:t>
      </w:r>
    </w:p>
    <w:p w14:paraId="150A39FF" w14:textId="0C474C91" w:rsidR="00F05D07" w:rsidRPr="004E1820" w:rsidRDefault="002C0D9B" w:rsidP="002C0D9B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5</w:t>
      </w:r>
      <w:r w:rsidRPr="00025909">
        <w:rPr>
          <w:bCs/>
          <w:szCs w:val="28"/>
        </w:rPr>
        <w:t xml:space="preserve">. </w:t>
      </w:r>
      <w:r w:rsidRPr="00CA0B03">
        <w:rPr>
          <w:bCs/>
          <w:szCs w:val="28"/>
        </w:rPr>
        <w:t>Усилить контроль за своевременностью и качеством выполнения мероприятий в рамках государственных программ органами местного самоуправления, подведомственными организациями, исполнителями по контрактам.</w:t>
      </w:r>
    </w:p>
    <w:p w14:paraId="445F9D3D" w14:textId="77777777" w:rsidR="00F05D07" w:rsidRPr="00FF18A9" w:rsidRDefault="00F05D07" w:rsidP="00F05D07">
      <w:pPr>
        <w:pStyle w:val="ConsPlusCell"/>
        <w:tabs>
          <w:tab w:val="left" w:pos="1134"/>
        </w:tabs>
        <w:jc w:val="center"/>
        <w:rPr>
          <w:rStyle w:val="FontStyle14"/>
        </w:rPr>
      </w:pPr>
      <w:r w:rsidRPr="004E1820">
        <w:rPr>
          <w:rStyle w:val="FontStyle14"/>
        </w:rPr>
        <w:t>_____________</w:t>
      </w:r>
    </w:p>
    <w:p w14:paraId="6DAD8F41" w14:textId="2F8AFDCC" w:rsidR="00CA0B03" w:rsidRPr="00FF18A9" w:rsidRDefault="00CA0B03" w:rsidP="00F05D07">
      <w:pPr>
        <w:autoSpaceDE w:val="0"/>
        <w:autoSpaceDN w:val="0"/>
        <w:adjustRightInd w:val="0"/>
        <w:rPr>
          <w:rStyle w:val="FontStyle14"/>
        </w:rPr>
      </w:pPr>
    </w:p>
    <w:sectPr w:rsidR="00CA0B03" w:rsidRPr="00FF18A9" w:rsidSect="00BB4B1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84169" w14:textId="77777777" w:rsidR="00B136BD" w:rsidRDefault="00B136BD">
      <w:r>
        <w:separator/>
      </w:r>
    </w:p>
  </w:endnote>
  <w:endnote w:type="continuationSeparator" w:id="0">
    <w:p w14:paraId="6A53F1EA" w14:textId="77777777" w:rsidR="00B136BD" w:rsidRDefault="00B1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2A60D" w14:textId="77777777" w:rsidR="00B136BD" w:rsidRDefault="00B136BD">
      <w:r>
        <w:separator/>
      </w:r>
    </w:p>
  </w:footnote>
  <w:footnote w:type="continuationSeparator" w:id="0">
    <w:p w14:paraId="472EAA4B" w14:textId="77777777" w:rsidR="00B136BD" w:rsidRDefault="00B13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7F857" w14:textId="77777777" w:rsidR="00067FE0" w:rsidRPr="00CD51CC" w:rsidRDefault="00067FE0" w:rsidP="00BB4B16">
    <w:pPr>
      <w:pStyle w:val="a3"/>
      <w:ind w:firstLine="0"/>
      <w:jc w:val="center"/>
      <w:rPr>
        <w:sz w:val="20"/>
      </w:rPr>
    </w:pPr>
    <w:r w:rsidRPr="00CD51CC">
      <w:rPr>
        <w:sz w:val="20"/>
      </w:rPr>
      <w:fldChar w:fldCharType="begin"/>
    </w:r>
    <w:r w:rsidRPr="00CD51CC">
      <w:rPr>
        <w:sz w:val="20"/>
      </w:rPr>
      <w:instrText>PAGE   \* MERGEFORMAT</w:instrText>
    </w:r>
    <w:r w:rsidRPr="00CD51CC">
      <w:rPr>
        <w:sz w:val="20"/>
      </w:rPr>
      <w:fldChar w:fldCharType="separate"/>
    </w:r>
    <w:r w:rsidR="0004481F">
      <w:rPr>
        <w:noProof/>
        <w:sz w:val="20"/>
      </w:rPr>
      <w:t>7</w:t>
    </w:r>
    <w:r w:rsidRPr="00CD51CC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F05A9" w14:textId="0ECD2A1A" w:rsidR="00F05D07" w:rsidRPr="00CD51CC" w:rsidRDefault="00F05D07" w:rsidP="00BB4B16">
    <w:pPr>
      <w:pStyle w:val="a3"/>
      <w:ind w:firstLine="0"/>
      <w:jc w:val="center"/>
      <w:rPr>
        <w:sz w:val="20"/>
      </w:rPr>
    </w:pPr>
    <w:r w:rsidRPr="00CD51CC">
      <w:rPr>
        <w:sz w:val="20"/>
      </w:rPr>
      <w:fldChar w:fldCharType="begin"/>
    </w:r>
    <w:r w:rsidRPr="00CD51CC">
      <w:rPr>
        <w:sz w:val="20"/>
      </w:rPr>
      <w:instrText>PAGE   \* MERGEFORMAT</w:instrText>
    </w:r>
    <w:r w:rsidRPr="00CD51CC">
      <w:rPr>
        <w:sz w:val="20"/>
      </w:rPr>
      <w:fldChar w:fldCharType="separate"/>
    </w:r>
    <w:r w:rsidR="0004481F">
      <w:rPr>
        <w:noProof/>
        <w:sz w:val="20"/>
      </w:rPr>
      <w:t>11</w:t>
    </w:r>
    <w:r w:rsidRPr="00CD51CC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C2835"/>
    <w:multiLevelType w:val="hybridMultilevel"/>
    <w:tmpl w:val="75D87880"/>
    <w:lvl w:ilvl="0" w:tplc="66A2B7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555A99"/>
    <w:multiLevelType w:val="hybridMultilevel"/>
    <w:tmpl w:val="F82EB41A"/>
    <w:lvl w:ilvl="0" w:tplc="94E80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B2518"/>
    <w:multiLevelType w:val="hybridMultilevel"/>
    <w:tmpl w:val="9DC4F1E8"/>
    <w:lvl w:ilvl="0" w:tplc="48EE26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D83470B"/>
    <w:multiLevelType w:val="hybridMultilevel"/>
    <w:tmpl w:val="66BCA4A4"/>
    <w:lvl w:ilvl="0" w:tplc="66A2B7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694161"/>
    <w:multiLevelType w:val="hybridMultilevel"/>
    <w:tmpl w:val="11880C6C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F3482"/>
    <w:multiLevelType w:val="hybridMultilevel"/>
    <w:tmpl w:val="2A8450C8"/>
    <w:lvl w:ilvl="0" w:tplc="66A2B7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DBE1F03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E2C0453"/>
    <w:multiLevelType w:val="hybridMultilevel"/>
    <w:tmpl w:val="278EE884"/>
    <w:lvl w:ilvl="0" w:tplc="2BF6E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9885437"/>
    <w:multiLevelType w:val="hybridMultilevel"/>
    <w:tmpl w:val="13D655FC"/>
    <w:lvl w:ilvl="0" w:tplc="48EE260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6B5266AF"/>
    <w:multiLevelType w:val="hybridMultilevel"/>
    <w:tmpl w:val="3F60D15A"/>
    <w:lvl w:ilvl="0" w:tplc="66A2B7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2809FC"/>
    <w:multiLevelType w:val="hybridMultilevel"/>
    <w:tmpl w:val="40B6FBEA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572B2"/>
    <w:multiLevelType w:val="hybridMultilevel"/>
    <w:tmpl w:val="C6089602"/>
    <w:lvl w:ilvl="0" w:tplc="48EE2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B7295"/>
    <w:multiLevelType w:val="hybridMultilevel"/>
    <w:tmpl w:val="3AA66E7C"/>
    <w:lvl w:ilvl="0" w:tplc="66A2B7D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FB754CA"/>
    <w:multiLevelType w:val="hybridMultilevel"/>
    <w:tmpl w:val="1D8859FA"/>
    <w:lvl w:ilvl="0" w:tplc="EB22F734">
      <w:start w:val="1"/>
      <w:numFmt w:val="bullet"/>
      <w:lvlText w:val="-"/>
      <w:lvlJc w:val="left"/>
      <w:pPr>
        <w:ind w:left="1502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9B"/>
    <w:rsid w:val="0000568A"/>
    <w:rsid w:val="000116D9"/>
    <w:rsid w:val="00025909"/>
    <w:rsid w:val="00027EC7"/>
    <w:rsid w:val="0004481F"/>
    <w:rsid w:val="000520F5"/>
    <w:rsid w:val="00054394"/>
    <w:rsid w:val="00056B17"/>
    <w:rsid w:val="000633CB"/>
    <w:rsid w:val="00066AD3"/>
    <w:rsid w:val="00067A68"/>
    <w:rsid w:val="00067FE0"/>
    <w:rsid w:val="0008476D"/>
    <w:rsid w:val="00096611"/>
    <w:rsid w:val="000A2648"/>
    <w:rsid w:val="000B427B"/>
    <w:rsid w:val="000B43D9"/>
    <w:rsid w:val="000C6D93"/>
    <w:rsid w:val="000D1797"/>
    <w:rsid w:val="000D3967"/>
    <w:rsid w:val="000F68EA"/>
    <w:rsid w:val="000F7FB1"/>
    <w:rsid w:val="00103F7E"/>
    <w:rsid w:val="00110C3E"/>
    <w:rsid w:val="00114CFB"/>
    <w:rsid w:val="001205D5"/>
    <w:rsid w:val="00120E4B"/>
    <w:rsid w:val="00121DFC"/>
    <w:rsid w:val="00122300"/>
    <w:rsid w:val="0012295A"/>
    <w:rsid w:val="001267E4"/>
    <w:rsid w:val="00131E1E"/>
    <w:rsid w:val="00132F79"/>
    <w:rsid w:val="00160B7A"/>
    <w:rsid w:val="001630D7"/>
    <w:rsid w:val="00180BC1"/>
    <w:rsid w:val="001832C0"/>
    <w:rsid w:val="00184F3C"/>
    <w:rsid w:val="00191DCE"/>
    <w:rsid w:val="00196C4E"/>
    <w:rsid w:val="001A351D"/>
    <w:rsid w:val="001A3AE4"/>
    <w:rsid w:val="001B311B"/>
    <w:rsid w:val="001C6820"/>
    <w:rsid w:val="001E4BDE"/>
    <w:rsid w:val="001F1851"/>
    <w:rsid w:val="00206756"/>
    <w:rsid w:val="00210D1F"/>
    <w:rsid w:val="00214D40"/>
    <w:rsid w:val="00220550"/>
    <w:rsid w:val="002220D7"/>
    <w:rsid w:val="00237BF1"/>
    <w:rsid w:val="00240DDF"/>
    <w:rsid w:val="00255B1E"/>
    <w:rsid w:val="00256A14"/>
    <w:rsid w:val="00272AD1"/>
    <w:rsid w:val="00272BCC"/>
    <w:rsid w:val="002752E5"/>
    <w:rsid w:val="00282A01"/>
    <w:rsid w:val="00287921"/>
    <w:rsid w:val="00292160"/>
    <w:rsid w:val="00296B0C"/>
    <w:rsid w:val="00297EB1"/>
    <w:rsid w:val="002A1AF3"/>
    <w:rsid w:val="002A4717"/>
    <w:rsid w:val="002A5B0E"/>
    <w:rsid w:val="002A751C"/>
    <w:rsid w:val="002B0172"/>
    <w:rsid w:val="002C0B9B"/>
    <w:rsid w:val="002C0D9B"/>
    <w:rsid w:val="002E1F64"/>
    <w:rsid w:val="003153B4"/>
    <w:rsid w:val="00316F80"/>
    <w:rsid w:val="003342F0"/>
    <w:rsid w:val="0033612E"/>
    <w:rsid w:val="0034651F"/>
    <w:rsid w:val="003855EB"/>
    <w:rsid w:val="003B0D22"/>
    <w:rsid w:val="003F466F"/>
    <w:rsid w:val="003F643F"/>
    <w:rsid w:val="004049AD"/>
    <w:rsid w:val="0041632A"/>
    <w:rsid w:val="004219FC"/>
    <w:rsid w:val="004247CC"/>
    <w:rsid w:val="00435A82"/>
    <w:rsid w:val="00435D30"/>
    <w:rsid w:val="00463FD5"/>
    <w:rsid w:val="00465B50"/>
    <w:rsid w:val="00485D23"/>
    <w:rsid w:val="004A2CFB"/>
    <w:rsid w:val="004A611E"/>
    <w:rsid w:val="004B0465"/>
    <w:rsid w:val="004B0FEF"/>
    <w:rsid w:val="004B136C"/>
    <w:rsid w:val="004B4C1F"/>
    <w:rsid w:val="004D4CE1"/>
    <w:rsid w:val="004E1703"/>
    <w:rsid w:val="004E1820"/>
    <w:rsid w:val="00501AA8"/>
    <w:rsid w:val="005175A7"/>
    <w:rsid w:val="005200AE"/>
    <w:rsid w:val="005201C9"/>
    <w:rsid w:val="00520D76"/>
    <w:rsid w:val="00526B81"/>
    <w:rsid w:val="00531375"/>
    <w:rsid w:val="00541840"/>
    <w:rsid w:val="005527D4"/>
    <w:rsid w:val="005628F1"/>
    <w:rsid w:val="0057054B"/>
    <w:rsid w:val="005A0589"/>
    <w:rsid w:val="005A64FB"/>
    <w:rsid w:val="005B5924"/>
    <w:rsid w:val="005C19D0"/>
    <w:rsid w:val="005C1CDC"/>
    <w:rsid w:val="005C36AA"/>
    <w:rsid w:val="005C3A27"/>
    <w:rsid w:val="005D3FA0"/>
    <w:rsid w:val="005E0FDF"/>
    <w:rsid w:val="005E4D6D"/>
    <w:rsid w:val="005F0251"/>
    <w:rsid w:val="005F0CD7"/>
    <w:rsid w:val="005F68F1"/>
    <w:rsid w:val="00604AC5"/>
    <w:rsid w:val="006059BE"/>
    <w:rsid w:val="0060651B"/>
    <w:rsid w:val="00622B64"/>
    <w:rsid w:val="00633025"/>
    <w:rsid w:val="0063769B"/>
    <w:rsid w:val="00657031"/>
    <w:rsid w:val="006661AB"/>
    <w:rsid w:val="00682065"/>
    <w:rsid w:val="00684499"/>
    <w:rsid w:val="00691B54"/>
    <w:rsid w:val="006A3B22"/>
    <w:rsid w:val="006A4FDE"/>
    <w:rsid w:val="006A5BB6"/>
    <w:rsid w:val="006D1B83"/>
    <w:rsid w:val="006E147C"/>
    <w:rsid w:val="006E5B87"/>
    <w:rsid w:val="00706420"/>
    <w:rsid w:val="007071A1"/>
    <w:rsid w:val="00707FFE"/>
    <w:rsid w:val="00710BDD"/>
    <w:rsid w:val="007110FD"/>
    <w:rsid w:val="0072496A"/>
    <w:rsid w:val="0073412E"/>
    <w:rsid w:val="00737B1F"/>
    <w:rsid w:val="00747E3D"/>
    <w:rsid w:val="00751926"/>
    <w:rsid w:val="00762284"/>
    <w:rsid w:val="007B1784"/>
    <w:rsid w:val="007B6550"/>
    <w:rsid w:val="007C1951"/>
    <w:rsid w:val="007C5ECB"/>
    <w:rsid w:val="007E4828"/>
    <w:rsid w:val="007E5B20"/>
    <w:rsid w:val="00837A31"/>
    <w:rsid w:val="00843C8C"/>
    <w:rsid w:val="00854AF7"/>
    <w:rsid w:val="00855A30"/>
    <w:rsid w:val="00860A70"/>
    <w:rsid w:val="00867963"/>
    <w:rsid w:val="008825DA"/>
    <w:rsid w:val="00885BE0"/>
    <w:rsid w:val="0089030D"/>
    <w:rsid w:val="00892E63"/>
    <w:rsid w:val="00895720"/>
    <w:rsid w:val="008A273D"/>
    <w:rsid w:val="008A393F"/>
    <w:rsid w:val="008B2A9B"/>
    <w:rsid w:val="008D27E9"/>
    <w:rsid w:val="008E5C53"/>
    <w:rsid w:val="008F2156"/>
    <w:rsid w:val="0090779C"/>
    <w:rsid w:val="0091170A"/>
    <w:rsid w:val="00914B6B"/>
    <w:rsid w:val="009241B4"/>
    <w:rsid w:val="00925454"/>
    <w:rsid w:val="009314FB"/>
    <w:rsid w:val="00946242"/>
    <w:rsid w:val="00957158"/>
    <w:rsid w:val="00960E7D"/>
    <w:rsid w:val="009744E6"/>
    <w:rsid w:val="00975A11"/>
    <w:rsid w:val="00976A04"/>
    <w:rsid w:val="00990E27"/>
    <w:rsid w:val="00996FF2"/>
    <w:rsid w:val="009A0551"/>
    <w:rsid w:val="009B08C5"/>
    <w:rsid w:val="009B1872"/>
    <w:rsid w:val="009B2003"/>
    <w:rsid w:val="009C0161"/>
    <w:rsid w:val="009C5F64"/>
    <w:rsid w:val="009D1E56"/>
    <w:rsid w:val="009D408B"/>
    <w:rsid w:val="009D7461"/>
    <w:rsid w:val="009E612A"/>
    <w:rsid w:val="009F1446"/>
    <w:rsid w:val="00A122B5"/>
    <w:rsid w:val="00A32FEF"/>
    <w:rsid w:val="00A46F5C"/>
    <w:rsid w:val="00A47AD0"/>
    <w:rsid w:val="00A5713D"/>
    <w:rsid w:val="00A615CD"/>
    <w:rsid w:val="00A66E8D"/>
    <w:rsid w:val="00A670BD"/>
    <w:rsid w:val="00A842EF"/>
    <w:rsid w:val="00A93ABE"/>
    <w:rsid w:val="00A951A0"/>
    <w:rsid w:val="00AA1ACE"/>
    <w:rsid w:val="00AA4D9C"/>
    <w:rsid w:val="00AA6290"/>
    <w:rsid w:val="00AB243C"/>
    <w:rsid w:val="00AB6C12"/>
    <w:rsid w:val="00AC0E91"/>
    <w:rsid w:val="00AC3E78"/>
    <w:rsid w:val="00AC5A6F"/>
    <w:rsid w:val="00AE3621"/>
    <w:rsid w:val="00AF5957"/>
    <w:rsid w:val="00B11BC9"/>
    <w:rsid w:val="00B136BD"/>
    <w:rsid w:val="00B4379F"/>
    <w:rsid w:val="00B54514"/>
    <w:rsid w:val="00B6726C"/>
    <w:rsid w:val="00BA0CDC"/>
    <w:rsid w:val="00BA5351"/>
    <w:rsid w:val="00BA7A55"/>
    <w:rsid w:val="00BB3A77"/>
    <w:rsid w:val="00BB4B16"/>
    <w:rsid w:val="00BB5415"/>
    <w:rsid w:val="00BB7592"/>
    <w:rsid w:val="00BC7167"/>
    <w:rsid w:val="00BD0BCA"/>
    <w:rsid w:val="00BF5CD6"/>
    <w:rsid w:val="00C2049F"/>
    <w:rsid w:val="00C30B6B"/>
    <w:rsid w:val="00C412F3"/>
    <w:rsid w:val="00C45149"/>
    <w:rsid w:val="00C45353"/>
    <w:rsid w:val="00C53220"/>
    <w:rsid w:val="00C53802"/>
    <w:rsid w:val="00C54DC6"/>
    <w:rsid w:val="00C57586"/>
    <w:rsid w:val="00C5767C"/>
    <w:rsid w:val="00C67C6F"/>
    <w:rsid w:val="00C7478C"/>
    <w:rsid w:val="00C758E2"/>
    <w:rsid w:val="00C80808"/>
    <w:rsid w:val="00C8675E"/>
    <w:rsid w:val="00C918AE"/>
    <w:rsid w:val="00CA0B03"/>
    <w:rsid w:val="00CA2E3C"/>
    <w:rsid w:val="00CA7969"/>
    <w:rsid w:val="00CB073F"/>
    <w:rsid w:val="00CB29FA"/>
    <w:rsid w:val="00CC7E46"/>
    <w:rsid w:val="00CE25FA"/>
    <w:rsid w:val="00CE5BCC"/>
    <w:rsid w:val="00CF0D78"/>
    <w:rsid w:val="00CF521F"/>
    <w:rsid w:val="00CF5AEB"/>
    <w:rsid w:val="00D02BBA"/>
    <w:rsid w:val="00D242E4"/>
    <w:rsid w:val="00D50F0F"/>
    <w:rsid w:val="00D51DE8"/>
    <w:rsid w:val="00D52F17"/>
    <w:rsid w:val="00D54C47"/>
    <w:rsid w:val="00D56B50"/>
    <w:rsid w:val="00D8186F"/>
    <w:rsid w:val="00DB78EF"/>
    <w:rsid w:val="00DC1B96"/>
    <w:rsid w:val="00DD18B9"/>
    <w:rsid w:val="00DD2C83"/>
    <w:rsid w:val="00E026DB"/>
    <w:rsid w:val="00E211F7"/>
    <w:rsid w:val="00E31E49"/>
    <w:rsid w:val="00E3388E"/>
    <w:rsid w:val="00E347CE"/>
    <w:rsid w:val="00E35342"/>
    <w:rsid w:val="00E36707"/>
    <w:rsid w:val="00E36C8F"/>
    <w:rsid w:val="00E429D4"/>
    <w:rsid w:val="00E51827"/>
    <w:rsid w:val="00E5355D"/>
    <w:rsid w:val="00E53C1E"/>
    <w:rsid w:val="00E5497C"/>
    <w:rsid w:val="00E65492"/>
    <w:rsid w:val="00E674F2"/>
    <w:rsid w:val="00E958BE"/>
    <w:rsid w:val="00EA0AE5"/>
    <w:rsid w:val="00EA1E69"/>
    <w:rsid w:val="00EA6036"/>
    <w:rsid w:val="00EB406E"/>
    <w:rsid w:val="00EC4D91"/>
    <w:rsid w:val="00EF4946"/>
    <w:rsid w:val="00EF7C11"/>
    <w:rsid w:val="00F05D07"/>
    <w:rsid w:val="00F146B9"/>
    <w:rsid w:val="00F20785"/>
    <w:rsid w:val="00F22E9D"/>
    <w:rsid w:val="00F3036A"/>
    <w:rsid w:val="00F3328B"/>
    <w:rsid w:val="00F37482"/>
    <w:rsid w:val="00F45EF5"/>
    <w:rsid w:val="00F46BB2"/>
    <w:rsid w:val="00F5223E"/>
    <w:rsid w:val="00F54DE0"/>
    <w:rsid w:val="00F641D6"/>
    <w:rsid w:val="00F77021"/>
    <w:rsid w:val="00F82DA6"/>
    <w:rsid w:val="00F90B3E"/>
    <w:rsid w:val="00F93DD6"/>
    <w:rsid w:val="00FA5978"/>
    <w:rsid w:val="00FB0BBC"/>
    <w:rsid w:val="00FB0F10"/>
    <w:rsid w:val="00FD0D4B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2220"/>
  <w15:docId w15:val="{DD52A424-83A5-4FD8-BA41-9A00E363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амый обычный"/>
    <w:qFormat/>
    <w:rsid w:val="002C0B9B"/>
    <w:rPr>
      <w:rFonts w:eastAsia="Times New Roman" w:cs="Times New Roman"/>
      <w:lang w:eastAsia="ru-RU"/>
    </w:rPr>
  </w:style>
  <w:style w:type="paragraph" w:styleId="1">
    <w:name w:val="heading 1"/>
    <w:aliases w:val="Заголовок 111111"/>
    <w:basedOn w:val="a"/>
    <w:next w:val="a"/>
    <w:link w:val="10"/>
    <w:autoRedefine/>
    <w:uiPriority w:val="9"/>
    <w:qFormat/>
    <w:rsid w:val="002C0B9B"/>
    <w:pPr>
      <w:keepNext/>
      <w:keepLines/>
      <w:ind w:firstLine="0"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11111 Знак"/>
    <w:basedOn w:val="a0"/>
    <w:link w:val="1"/>
    <w:uiPriority w:val="9"/>
    <w:rsid w:val="002C0B9B"/>
    <w:rPr>
      <w:rFonts w:eastAsia="Times New Roman" w:cs="Times New Roman"/>
      <w:b/>
      <w:bCs/>
      <w:szCs w:val="28"/>
      <w:lang w:eastAsia="ru-RU"/>
    </w:rPr>
  </w:style>
  <w:style w:type="character" w:customStyle="1" w:styleId="33">
    <w:name w:val="Основной текст (33)_"/>
    <w:link w:val="330"/>
    <w:rsid w:val="002C0B9B"/>
    <w:rPr>
      <w:b/>
      <w:bCs/>
      <w:sz w:val="26"/>
      <w:szCs w:val="26"/>
      <w:shd w:val="clear" w:color="auto" w:fill="FFFFFF"/>
    </w:rPr>
  </w:style>
  <w:style w:type="paragraph" w:customStyle="1" w:styleId="330">
    <w:name w:val="Основной текст (33)"/>
    <w:basedOn w:val="a"/>
    <w:link w:val="33"/>
    <w:rsid w:val="002C0B9B"/>
    <w:pPr>
      <w:shd w:val="clear" w:color="auto" w:fill="FFFFFF"/>
      <w:spacing w:before="240" w:after="240" w:line="336" w:lineRule="exact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ConsPlusCell">
    <w:name w:val="ConsPlusCell"/>
    <w:uiPriority w:val="99"/>
    <w:rsid w:val="002C0B9B"/>
    <w:pPr>
      <w:autoSpaceDE w:val="0"/>
      <w:autoSpaceDN w:val="0"/>
      <w:adjustRightInd w:val="0"/>
      <w:ind w:firstLine="0"/>
      <w:jc w:val="left"/>
    </w:pPr>
    <w:rPr>
      <w:rFonts w:eastAsia="Calibri" w:cs="Times New Roman"/>
      <w:szCs w:val="28"/>
      <w:lang w:eastAsia="ru-RU"/>
    </w:rPr>
  </w:style>
  <w:style w:type="character" w:customStyle="1" w:styleId="FontStyle14">
    <w:name w:val="Font Style14"/>
    <w:uiPriority w:val="99"/>
    <w:rsid w:val="002C0B9B"/>
    <w:rPr>
      <w:rFonts w:ascii="Times New Roman" w:hAnsi="Times New Roman" w:cs="Times New Roman" w:hint="default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0B9B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C0B9B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237BF1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40DD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40DD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40DDF"/>
    <w:rPr>
      <w:rFonts w:eastAsia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0DD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40DDF"/>
    <w:rPr>
      <w:rFonts w:eastAsia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0DD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0D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ltos2\econom\OTDELY\15\&#1043;&#1054;&#1057;%20&#1055;&#1056;&#1054;&#1043;&#1056;&#1040;&#1052;&#1052;&#1067;\&#1054;&#1058;&#1063;&#1045;&#1058;&#1067;%20&#1087;&#1086;%20&#1043;&#1055;\2024\&#1043;&#1054;&#1044;&#1054;&#1042;&#1054;&#1049;%202024\&#1057;&#1042;&#1054;&#1044;&#1053;&#1067;&#1049;%20&#1086;&#1090;&#1095;&#1077;&#1090;%20&#1079;&#1072;%202024%20&#1075;&#1086;&#1076;\&#1048;&#1058;&#1054;&#1043;%20&#1057;&#1074;&#1086;&#1076;&#1085;&#1099;&#1081;%20&#1086;&#1090;&#1095;&#1077;&#1090;_&#1043;&#1055;%20&#1079;&#1072;%202024%20&#1075;&#1086;&#1076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ltos2\econom\OTDELY\15\&#1043;&#1054;&#1057;%20&#1055;&#1056;&#1054;&#1043;&#1056;&#1040;&#1052;&#1052;&#1067;\&#1054;&#1058;&#1063;&#1045;&#1058;&#1067;%20&#1087;&#1086;%20&#1043;&#1055;\2024\&#1043;&#1054;&#1044;&#1054;&#1042;&#1054;&#1049;%202024\&#1057;&#1042;&#1054;&#1044;&#1053;&#1067;&#1049;%20&#1086;&#1090;&#1095;&#1077;&#1090;%20&#1079;&#1072;%202024%20&#1075;&#1086;&#1076;\&#1048;&#1058;&#1054;&#1043;%20&#1057;&#1074;&#1086;&#1076;&#1085;&#1099;&#1081;%20&#1086;&#1090;&#1095;&#1077;&#1090;_&#1043;&#1055;%20&#1079;&#1072;%202024%20&#1075;&#1086;&#1076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Muller Narrow Light" panose="00000400000000000000" pitchFamily="50" charset="-52"/>
                <a:ea typeface="+mn-ea"/>
                <a:cs typeface="Times New Roman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Достижение плановых значений показателей государственных программ (К1)</a:t>
            </a:r>
          </a:p>
        </c:rich>
      </c:tx>
      <c:layout>
        <c:manualLayout>
          <c:xMode val="edge"/>
          <c:yMode val="edge"/>
          <c:x val="0.17661424469629336"/>
          <c:y val="2.26225536766102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Muller Narrow Light" panose="00000400000000000000" pitchFamily="50" charset="-52"/>
              <a:ea typeface="+mn-ea"/>
              <a:cs typeface="Times New Roman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8669147846897224E-2"/>
          <c:y val="0.1720736438745136"/>
          <c:w val="0.35720681088386613"/>
          <c:h val="0.79489303297790215"/>
        </c:manualLayout>
      </c:layout>
      <c:doughnut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/>
            </c:spPr>
          </c:dPt>
          <c:dPt>
            <c:idx val="4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/>
            </c:spPr>
          </c:dPt>
          <c:dLbls>
            <c:spPr>
              <a:solidFill>
                <a:schemeClr val="bg1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6350" cap="flat" cmpd="sng" algn="ctr">
                  <a:solidFill>
                    <a:schemeClr val="tx1"/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'1. Показатели'!$S$4:$W$4</c:f>
              <c:strCache>
                <c:ptCount val="5"/>
                <c:pt idx="0">
                  <c:v>Данные о фактических значениях отсутствуют</c:v>
                </c:pt>
                <c:pt idx="1">
                  <c:v>Значительно перевыполнены (более 150%)</c:v>
                </c:pt>
                <c:pt idx="2">
                  <c:v>Высокая степень (от 99,5 до 150%)</c:v>
                </c:pt>
                <c:pt idx="3">
                  <c:v>Средняя степень (от 85 до 99,5%)</c:v>
                </c:pt>
                <c:pt idx="4">
                  <c:v>Низкая степень (ниже 85%)</c:v>
                </c:pt>
              </c:strCache>
            </c:strRef>
          </c:cat>
          <c:val>
            <c:numRef>
              <c:f>'1. Показатели'!$S$5:$W$5</c:f>
              <c:numCache>
                <c:formatCode>General</c:formatCode>
                <c:ptCount val="5"/>
                <c:pt idx="0">
                  <c:v>33</c:v>
                </c:pt>
                <c:pt idx="1">
                  <c:v>39</c:v>
                </c:pt>
                <c:pt idx="2">
                  <c:v>279</c:v>
                </c:pt>
                <c:pt idx="3">
                  <c:v>32</c:v>
                </c:pt>
                <c:pt idx="4">
                  <c:v>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552-4540-ABEA-F769924531B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67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6869614124321418"/>
          <c:y val="0.26339397230518596"/>
          <c:w val="0.51165256516848434"/>
          <c:h val="0.587626557874574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Muller Narrow Light" panose="00000400000000000000" pitchFamily="50" charset="-52"/>
          <a:cs typeface="Times New Roman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Muller Narrow Light" panose="00000400000000000000" pitchFamily="50" charset="-52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значений показателей по сравнению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 2023 годом (К2) </a:t>
            </a:r>
          </a:p>
        </c:rich>
      </c:tx>
      <c:layout>
        <c:manualLayout>
          <c:xMode val="edge"/>
          <c:yMode val="edge"/>
          <c:x val="0.18329617459234918"/>
          <c:y val="3.52769028871391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Muller Narrow Light" panose="00000400000000000000" pitchFamily="50" charset="-52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1421483323092224E-2"/>
          <c:y val="0.26721429154792148"/>
          <c:w val="0.35809339482427388"/>
          <c:h val="0.63443818300872734"/>
        </c:manualLayout>
      </c:layout>
      <c:doughnutChart>
        <c:varyColors val="1"/>
        <c:ser>
          <c:idx val="0"/>
          <c:order val="0"/>
          <c:explosion val="4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</c:dPt>
          <c:dLbls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6350" cap="flat" cmpd="sng" algn="ctr">
                  <a:solidFill>
                    <a:schemeClr val="tx1"/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'1. Показатели'!$Z$4:$AB$4</c:f>
              <c:strCache>
                <c:ptCount val="3"/>
                <c:pt idx="0">
                  <c:v>Положительная динамика (К2≥101%)</c:v>
                </c:pt>
                <c:pt idx="1">
                  <c:v>Значения на уровне 2023 года (К2 от 99 до 101%)</c:v>
                </c:pt>
                <c:pt idx="2">
                  <c:v>Отрицательная динамика (К2 &lt; 99%)</c:v>
                </c:pt>
              </c:strCache>
            </c:strRef>
          </c:cat>
          <c:val>
            <c:numRef>
              <c:f>'1. Показатели'!$Z$5:$AB$5</c:f>
              <c:numCache>
                <c:formatCode>General</c:formatCode>
                <c:ptCount val="3"/>
                <c:pt idx="0">
                  <c:v>113</c:v>
                </c:pt>
                <c:pt idx="1">
                  <c:v>71</c:v>
                </c:pt>
                <c:pt idx="2">
                  <c:v>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6ED-45EB-9C41-051674C916A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39648252629838593"/>
          <c:y val="0.36530708661417322"/>
          <c:w val="0.60100853535040411"/>
          <c:h val="0.3506800779140611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Muller Narrow Light" panose="00000400000000000000" pitchFamily="50" charset="-52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Выполнение мероприятий государственных программ (К3)</c:v>
                </c:pt>
              </c:strCache>
            </c:strRef>
          </c:tx>
          <c:explosion val="6"/>
          <c:dPt>
            <c:idx val="0"/>
            <c:bubble3D val="0"/>
            <c:spPr>
              <a:solidFill>
                <a:srgbClr val="70AD47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F6B-416F-80E6-62D4698F51F8}"/>
              </c:ext>
            </c:extLst>
          </c:dPt>
          <c:dPt>
            <c:idx val="1"/>
            <c:bubble3D val="0"/>
            <c:spPr>
              <a:solidFill>
                <a:srgbClr val="ED7D3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F6B-416F-80E6-62D4698F51F8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F6B-416F-80E6-62D4698F51F8}"/>
              </c:ext>
            </c:extLst>
          </c:dPt>
          <c:dLbls>
            <c:dLbl>
              <c:idx val="0"/>
              <c:layout>
                <c:manualLayout>
                  <c:x val="-0.10658307210031348"/>
                  <c:y val="-1.173020527859237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11899883987855E-2"/>
                  <c:y val="-9.337674432924626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F6B-416F-80E6-62D4698F51F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9.1954022988505746E-2"/>
                  <c:y val="2.8162913202283354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F6B-416F-80E6-62D4698F51F8}"/>
                </c:ext>
                <c:ext xmlns:c15="http://schemas.microsoft.com/office/drawing/2012/chart" uri="{CE6537A1-D6FC-4f65-9D91-7224C49458BB}">
                  <c15:layout>
                    <c:manualLayout>
                      <c:w val="9.3260105809657809E-2"/>
                      <c:h val="0.18035937815465375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частично</c:v>
                </c:pt>
                <c:pt idx="2">
                  <c:v>нет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863</c:v>
                </c:pt>
                <c:pt idx="1">
                  <c:v>133</c:v>
                </c:pt>
                <c:pt idx="2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F6B-416F-80E6-62D4698F51F8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77"/>
        <c:holeSize val="6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 i="0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Исполнение государственных программ по источникам финансирования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Лист3!$B$5</c:f>
              <c:strCache>
                <c:ptCount val="1"/>
                <c:pt idx="0">
                  <c:v>ОБ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cat>
          <c:val>
            <c:numRef>
              <c:f>Лист3!$B$6:$B$11</c:f>
              <c:numCache>
                <c:formatCode>#\ ##0.0</c:formatCode>
                <c:ptCount val="6"/>
                <c:pt idx="0">
                  <c:v>18706.7</c:v>
                </c:pt>
                <c:pt idx="1">
                  <c:v>27098</c:v>
                </c:pt>
                <c:pt idx="2">
                  <c:v>19629.400000000001</c:v>
                </c:pt>
                <c:pt idx="3">
                  <c:v>10307.700000000001</c:v>
                </c:pt>
                <c:pt idx="4">
                  <c:v>20224</c:v>
                </c:pt>
                <c:pt idx="5">
                  <c:v>9397.7000000000007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361-4E4F-A312-BDBE88D8278F}"/>
            </c:ext>
          </c:extLst>
        </c:ser>
        <c:ser>
          <c:idx val="1"/>
          <c:order val="1"/>
          <c:tx>
            <c:strRef>
              <c:f>Лист3!$C$5</c:f>
              <c:strCache>
                <c:ptCount val="1"/>
                <c:pt idx="0">
                  <c:v>ФБ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cat>
          <c:val>
            <c:numRef>
              <c:f>Лист3!$C$6:$C$11</c:f>
              <c:numCache>
                <c:formatCode>#\ ##0.0</c:formatCode>
                <c:ptCount val="6"/>
                <c:pt idx="0">
                  <c:v>2387.6999999999998</c:v>
                </c:pt>
                <c:pt idx="1">
                  <c:v>2634.7</c:v>
                </c:pt>
                <c:pt idx="2">
                  <c:v>2580.1</c:v>
                </c:pt>
                <c:pt idx="3">
                  <c:v>1747.4</c:v>
                </c:pt>
                <c:pt idx="4">
                  <c:v>10857.1</c:v>
                </c:pt>
                <c:pt idx="5">
                  <c:v>1278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361-4E4F-A312-BDBE88D8278F}"/>
            </c:ext>
          </c:extLst>
        </c:ser>
        <c:ser>
          <c:idx val="2"/>
          <c:order val="2"/>
          <c:tx>
            <c:strRef>
              <c:f>Лист3!$D$5</c:f>
              <c:strCache>
                <c:ptCount val="1"/>
                <c:pt idx="0">
                  <c:v>МБ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4.1805473904239339E-2"/>
                  <c:y val="-1.3689253935660506E-2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2256842380299172E-2"/>
                  <c:y val="-1.3689253935660547E-2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3111894963746816E-2"/>
                  <c:y val="-1.5970796258270591E-2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cat>
          <c:val>
            <c:numRef>
              <c:f>Лист3!$D$6:$D$11</c:f>
              <c:numCache>
                <c:formatCode>#\ ##0.0</c:formatCode>
                <c:ptCount val="6"/>
                <c:pt idx="1">
                  <c:v>258</c:v>
                </c:pt>
                <c:pt idx="4">
                  <c:v>876.4</c:v>
                </c:pt>
                <c:pt idx="5">
                  <c:v>67.5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361-4E4F-A312-BDBE88D8278F}"/>
            </c:ext>
          </c:extLst>
        </c:ser>
        <c:ser>
          <c:idx val="3"/>
          <c:order val="3"/>
          <c:tx>
            <c:strRef>
              <c:f>Лист3!$E$5</c:f>
              <c:strCache>
                <c:ptCount val="1"/>
                <c:pt idx="0">
                  <c:v>ВБС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2.6128421190149105E-3"/>
                  <c:y val="-1.5970796258270675E-2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3064210595074793E-3"/>
                  <c:y val="-1.8252338580880718E-2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cat>
          <c:val>
            <c:numRef>
              <c:f>Лист3!$E$6:$E$11</c:f>
              <c:numCache>
                <c:formatCode>General</c:formatCode>
                <c:ptCount val="6"/>
                <c:pt idx="0" formatCode="#\ ##0.0">
                  <c:v>24523.200000000001</c:v>
                </c:pt>
                <c:pt idx="2" formatCode="#\ ##0.0">
                  <c:v>145.6</c:v>
                </c:pt>
                <c:pt idx="4" formatCode="#\ ##0.0">
                  <c:v>190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361-4E4F-A312-BDBE88D827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20899544"/>
        <c:axId val="124101376"/>
      </c:barChart>
      <c:lineChart>
        <c:grouping val="standard"/>
        <c:varyColors val="0"/>
        <c:ser>
          <c:idx val="4"/>
          <c:order val="4"/>
          <c:tx>
            <c:strRef>
              <c:f>Лист3!$F$5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cat>
          <c:val>
            <c:numRef>
              <c:f>Лист3!$F$6:$F$11</c:f>
              <c:numCache>
                <c:formatCode>#\ ##0.0</c:formatCode>
                <c:ptCount val="6"/>
                <c:pt idx="0">
                  <c:v>45597</c:v>
                </c:pt>
                <c:pt idx="1">
                  <c:v>30129.8</c:v>
                </c:pt>
                <c:pt idx="2">
                  <c:v>22562.6</c:v>
                </c:pt>
                <c:pt idx="3">
                  <c:v>12164.4</c:v>
                </c:pt>
                <c:pt idx="4">
                  <c:v>36638</c:v>
                </c:pt>
                <c:pt idx="5">
                  <c:v>11693.2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361-4E4F-A312-BDBE88D8278F}"/>
            </c:ext>
          </c:extLst>
        </c:ser>
        <c:ser>
          <c:idx val="5"/>
          <c:order val="5"/>
          <c:tx>
            <c:strRef>
              <c:f>Лист3!$G$5</c:f>
              <c:strCache>
                <c:ptCount val="1"/>
                <c:pt idx="0">
                  <c:v>Всего расходов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rgbClr val="FF0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3966947547194475E-2"/>
                  <c:y val="-3.4223134839151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8289894833104711E-2"/>
                  <c:y val="-4.3349304129591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370631654582272E-2"/>
                  <c:y val="-5.0193931097421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966947547194461E-2"/>
                  <c:y val="-5.247547342003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451368476059835E-2"/>
                  <c:y val="-5.4757015742642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3064210595074793E-3"/>
                  <c:y val="-3.8786219484371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4361-4E4F-A312-BDBE88D827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rgbClr val="FF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cat>
          <c:val>
            <c:numRef>
              <c:f>Лист3!$G$6:$G$11</c:f>
              <c:numCache>
                <c:formatCode>#\ ##0.0</c:formatCode>
                <c:ptCount val="6"/>
                <c:pt idx="0">
                  <c:v>45597</c:v>
                </c:pt>
                <c:pt idx="1">
                  <c:v>29990.7</c:v>
                </c:pt>
                <c:pt idx="2">
                  <c:v>22355.599999999999</c:v>
                </c:pt>
                <c:pt idx="3">
                  <c:v>12055</c:v>
                </c:pt>
                <c:pt idx="4">
                  <c:v>32147.5</c:v>
                </c:pt>
                <c:pt idx="5">
                  <c:v>10743.2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4361-4E4F-A312-BDBE88D827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899544"/>
        <c:axId val="124101376"/>
      </c:lineChart>
      <c:scatterChart>
        <c:scatterStyle val="lineMarker"/>
        <c:varyColors val="0"/>
        <c:ser>
          <c:idx val="6"/>
          <c:order val="6"/>
          <c:tx>
            <c:strRef>
              <c:f>Лист3!$H$5</c:f>
              <c:strCache>
                <c:ptCount val="1"/>
                <c:pt idx="0">
                  <c:v>Степень освоения средств, %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7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dLbls>
            <c:dLbl>
              <c:idx val="0"/>
              <c:layout/>
              <c:tx>
                <c:rich>
                  <a:bodyPr/>
                  <a:lstStyle/>
                  <a:p>
                    <a:fld id="{750F7917-CE02-435E-B62A-470DB2608273}" type="YVALUE">
                      <a:rPr lang="en-US"/>
                      <a:pPr/>
                      <a:t>[ЗНАЧЕНИЕ Y]</a:t>
                    </a:fld>
                    <a:r>
                      <a:rPr lang="en-US"/>
                      <a:t>*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EE835785-C18B-4B5D-8A87-67BDDF7F2403}" type="YVALUE">
                      <a:rPr lang="en-US">
                        <a:solidFill>
                          <a:schemeClr val="tx1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b="1">
                          <a:solidFill>
                            <a:schemeClr val="tx1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 Y]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2.0902736952119572E-2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Лист3!$A$6:$A$11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Транспортная система</c:v>
                </c:pt>
              </c:strCache>
            </c:strRef>
          </c:xVal>
          <c:yVal>
            <c:numRef>
              <c:f>Лист3!$H$6:$H$11</c:f>
              <c:numCache>
                <c:formatCode>0.0%</c:formatCode>
                <c:ptCount val="6"/>
                <c:pt idx="0">
                  <c:v>1</c:v>
                </c:pt>
                <c:pt idx="1">
                  <c:v>0.99538330821976917</c:v>
                </c:pt>
                <c:pt idx="2">
                  <c:v>0.99082552542703417</c:v>
                </c:pt>
                <c:pt idx="3">
                  <c:v>0.99100654368485086</c:v>
                </c:pt>
                <c:pt idx="4">
                  <c:v>0.87743599541459683</c:v>
                </c:pt>
                <c:pt idx="5">
                  <c:v>0.9187562001847227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4361-4E4F-A312-BDBE88D827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4100200"/>
        <c:axId val="124099024"/>
      </c:scatterChart>
      <c:catAx>
        <c:axId val="120899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4101376"/>
        <c:crosses val="autoZero"/>
        <c:auto val="1"/>
        <c:lblAlgn val="ctr"/>
        <c:lblOffset val="100"/>
        <c:noMultiLvlLbl val="0"/>
      </c:catAx>
      <c:valAx>
        <c:axId val="124101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0899544"/>
        <c:crosses val="autoZero"/>
        <c:crossBetween val="between"/>
      </c:valAx>
      <c:valAx>
        <c:axId val="124099024"/>
        <c:scaling>
          <c:orientation val="minMax"/>
        </c:scaling>
        <c:delete val="0"/>
        <c:axPos val="r"/>
        <c:numFmt formatCode="0.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4100200"/>
        <c:crosses val="max"/>
        <c:crossBetween val="midCat"/>
      </c:valAx>
      <c:valAx>
        <c:axId val="124100200"/>
        <c:scaling>
          <c:orientation val="minMax"/>
        </c:scaling>
        <c:delete val="0"/>
        <c:axPos val="t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4099024"/>
        <c:crosses val="max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Исполнение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государственных программ по источникам финансирования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5435765494762312E-2"/>
          <c:y val="7.28593653066094E-2"/>
          <c:w val="0.92613711948326349"/>
          <c:h val="0.746804972731702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C713F1C9-3CDF-4A7E-97D1-4454B5CA23FC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6E588F75-10C0-40E9-9FE2-75A90107CC1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61264AFC-F423-4021-8F5C-FD64D9F918E6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1C57124-C448-4640-9BBC-9372CF9B780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7A53A34C-3E1C-454B-8F91-D9E3AF9597D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9C362204-6239-4DE8-B1B7-1BBFA07BED2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5206D56-A134-450F-9648-A606BD61490F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776356A0-B830-4A33-93A0-AC25DF3D795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DE254E7A-D71B-4427-82FD-C85619567E68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26CE847-CE9B-4B98-8964-CCB9A3BFE90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cat>
          <c:val>
            <c:numRef>
              <c:f>Лист1!$B$2:$B$10</c:f>
              <c:numCache>
                <c:formatCode>#\ ##0.0</c:formatCode>
                <c:ptCount val="9"/>
                <c:pt idx="0">
                  <c:v>2694</c:v>
                </c:pt>
                <c:pt idx="1">
                  <c:v>2496.3000000000002</c:v>
                </c:pt>
                <c:pt idx="2">
                  <c:v>2497.5</c:v>
                </c:pt>
                <c:pt idx="3">
                  <c:v>724.4</c:v>
                </c:pt>
                <c:pt idx="4">
                  <c:v>3674.6</c:v>
                </c:pt>
                <c:pt idx="5">
                  <c:v>754.1</c:v>
                </c:pt>
                <c:pt idx="6">
                  <c:v>1193.7</c:v>
                </c:pt>
                <c:pt idx="7">
                  <c:v>605.1</c:v>
                </c:pt>
                <c:pt idx="8">
                  <c:v>1846.8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ED8C-42DB-9694-2EF62056825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ФБ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BC008BEA-AB7F-4566-83FD-ABAC1F8D79DD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2.7303842695872052E-3"/>
                  <c:y val="6.598348000617524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AE599CD5-16BE-4413-AB86-FAB5CE1AE7A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651877133105323E-3"/>
                  <c:y val="7.10143212214455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DBB90E90-2F0B-4267-8CE1-0F20691FC2E2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0A596FD6-2D65-4804-84A1-CF6E74AF882F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D2FA7C6C-71EB-457C-84EB-3894293DFC7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3B2FEFFD-4314-4EBC-A78D-CA647B1F2697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F6E81870-F669-45F0-A387-516AB1D5EDC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6.8259385665526955E-3"/>
                  <c:y val="-4.73428808142976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D39-4A05-9F8E-8ADB978B0D6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cat>
          <c:val>
            <c:numRef>
              <c:f>Лист1!$C$2:$C$10</c:f>
              <c:numCache>
                <c:formatCode>#\ ##0.0</c:formatCode>
                <c:ptCount val="9"/>
                <c:pt idx="0">
                  <c:v>632.9</c:v>
                </c:pt>
                <c:pt idx="1">
                  <c:v>204.3</c:v>
                </c:pt>
                <c:pt idx="3">
                  <c:v>230.9</c:v>
                </c:pt>
                <c:pt idx="4">
                  <c:v>200.9</c:v>
                </c:pt>
                <c:pt idx="5">
                  <c:v>91.6</c:v>
                </c:pt>
                <c:pt idx="6">
                  <c:v>186.7</c:v>
                </c:pt>
                <c:pt idx="7">
                  <c:v>305.60000000000002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ED8C-42DB-9694-2EF62056825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МБ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layout>
                <c:manualLayout>
                  <c:x val="-1.9743336623889451E-2"/>
                  <c:y val="-2.20588235294118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МБ </a:t>
                    </a:r>
                    <a:fld id="{B16FEEA2-2C52-4BA3-85E7-2DF8F0CC74F8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CCF-4D11-B38E-FBD95575432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МБ </a:t>
                    </a:r>
                    <a:fld id="{DFCDEAE3-5BB1-4A6E-9DB0-C6E274B4547B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CCF-4D11-B38E-FBD95575432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CCF-4D11-B38E-FBD95575432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CCF-4D11-B38E-FBD95575432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905561039815824E-2"/>
                  <c:y val="-2.20588235294118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МБ </a:t>
                    </a:r>
                    <a:fld id="{34B25DB1-B513-499F-ACDB-76D575C3B8C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CCF-4D11-B38E-FBD95575432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CCF-4D11-B38E-FBD955754325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8700230338927182E-2"/>
                  <c:y val="-3.43137254901960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МБ </a:t>
                    </a:r>
                    <a:fld id="{FD25F339-FC87-4250-B5E4-0B7F2C580C7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CCF-4D11-B38E-FBD95575432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3.8170450806186147E-2"/>
                  <c:y val="7.3529411764704988E-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МБ </a:t>
                    </a:r>
                    <a:fld id="{34E6C024-4223-4393-AE3F-7673B9E68958}" type="VALUE">
                      <a:rPr lang="en-US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[ЗНАЧЕНИЕ]</a:t>
                    </a:fld>
                    <a:endParaRPr lang="ru-RU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CCF-4D11-B38E-FBD95575432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CCF-4D11-B38E-FBD95575432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cat>
          <c:val>
            <c:numRef>
              <c:f>Лист1!$D$2:$D$10</c:f>
              <c:numCache>
                <c:formatCode>#\ ##0.0</c:formatCode>
                <c:ptCount val="9"/>
                <c:pt idx="0">
                  <c:v>76.099999999999994</c:v>
                </c:pt>
                <c:pt idx="1">
                  <c:v>95.4</c:v>
                </c:pt>
                <c:pt idx="4">
                  <c:v>191.6</c:v>
                </c:pt>
                <c:pt idx="5">
                  <c:v>0.8</c:v>
                </c:pt>
                <c:pt idx="6">
                  <c:v>11.3</c:v>
                </c:pt>
                <c:pt idx="7">
                  <c:v>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ED8C-42DB-9694-2EF62056825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ВБС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CCF-4D11-B38E-FBD95575432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9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651877133105323E-3"/>
                  <c:y val="-1.89371523257190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A79D2DC7-4B43-41E1-BD56-210CC310C58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A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B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5811122079631459E-3"/>
                  <c:y val="-2.32864366218928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E1C84C61-FD21-42D8-9875-151CFE622D5B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C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4.738400789733465E-2"/>
                  <c:y val="-1.470588235294117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FAB38353-4D21-4D95-BC5D-F5DD247A1560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D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3.0273116156630472E-2"/>
                  <c:y val="1.194901188821985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95471847-7D33-4CC4-A723-C08D06E395C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E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F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2.7303754266211604E-3"/>
                  <c:y val="-2.638396381065468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7C5A8811-6D07-46BE-A5BB-42E706BFAA9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0-ED8C-42DB-9694-2EF62056825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3" formatCode="#\ ##0.0">
                  <c:v>125.3</c:v>
                </c:pt>
                <c:pt idx="5" formatCode="#\ ##0.0">
                  <c:v>0.1</c:v>
                </c:pt>
                <c:pt idx="6" formatCode="#\ ##0.0">
                  <c:v>169.5</c:v>
                </c:pt>
                <c:pt idx="7" formatCode="#\ ##0.0">
                  <c:v>12.8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1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5"/>
        <c:overlap val="100"/>
        <c:axId val="124099416"/>
        <c:axId val="124094712"/>
      </c:barChart>
      <c:lineChart>
        <c:grouping val="standard"/>
        <c:varyColors val="0"/>
        <c:ser>
          <c:idx val="4"/>
          <c:order val="4"/>
          <c:tx>
            <c:strRef>
              <c:f>Лист1!$F$1</c:f>
              <c:strCache>
                <c:ptCount val="1"/>
                <c:pt idx="0">
                  <c:v>План</c:v>
                </c:pt>
              </c:strCache>
            </c:strRef>
          </c:tx>
          <c:marker>
            <c:symbol val="none"/>
          </c:marker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cat>
          <c:val>
            <c:numRef>
              <c:f>Лист1!$F$2:$F$10</c:f>
              <c:numCache>
                <c:formatCode>#\ ##0.0</c:formatCode>
                <c:ptCount val="9"/>
                <c:pt idx="0">
                  <c:v>3444</c:v>
                </c:pt>
                <c:pt idx="1">
                  <c:v>3120.7</c:v>
                </c:pt>
                <c:pt idx="2">
                  <c:v>2517.9</c:v>
                </c:pt>
                <c:pt idx="3">
                  <c:v>1015.3</c:v>
                </c:pt>
                <c:pt idx="4">
                  <c:v>4226</c:v>
                </c:pt>
                <c:pt idx="5">
                  <c:v>3227.3</c:v>
                </c:pt>
                <c:pt idx="6">
                  <c:v>1524.5</c:v>
                </c:pt>
                <c:pt idx="7">
                  <c:v>1053</c:v>
                </c:pt>
                <c:pt idx="8">
                  <c:v>1866.8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2-ED8C-42DB-9694-2EF62056825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Всего расходов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3.801053496151087E-2"/>
                  <c:y val="-4.7291763161957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3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129721700195355E-2"/>
                  <c:y val="-7.0912588836684803E-2"/>
                </c:manualLayout>
              </c:layout>
              <c:spPr>
                <a:noFill/>
              </c:spPr>
              <c:txPr>
                <a:bodyPr/>
                <a:lstStyle/>
                <a:p>
                  <a:pPr>
                    <a:defRPr b="1">
                      <a:solidFill>
                        <a:srgbClr val="FF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4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783297448134924E-2"/>
                  <c:y val="-6.204608615099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5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731933681044111E-2"/>
                  <c:y val="-5.6125328083989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6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94868277417081E-2"/>
                  <c:y val="-6.105207969548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7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8302513518485417E-2"/>
                  <c:y val="-4.3522538809783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8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64014012068827E-2"/>
                  <c:y val="-5.4524278215223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9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674707202385203E-2"/>
                  <c:y val="-5.0819641847081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A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455363735998942E-2"/>
                  <c:y val="-4.0164427975914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B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7747440273037547E-2"/>
                  <c:y val="4.3410066699409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C-ED8C-42DB-9694-2EF62056825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0"/>
                  <c:y val="-9.201388322858499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D-ED8C-42DB-9694-2EF6205682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cat>
          <c:val>
            <c:numRef>
              <c:f>Лист1!$G$2:$G$10</c:f>
              <c:numCache>
                <c:formatCode>#\ ##0.0</c:formatCode>
                <c:ptCount val="9"/>
                <c:pt idx="0">
                  <c:v>3402.7</c:v>
                </c:pt>
                <c:pt idx="1">
                  <c:v>2796</c:v>
                </c:pt>
                <c:pt idx="2">
                  <c:v>2497.5</c:v>
                </c:pt>
                <c:pt idx="3">
                  <c:v>1080.5999999999999</c:v>
                </c:pt>
                <c:pt idx="4">
                  <c:v>4067</c:v>
                </c:pt>
                <c:pt idx="5">
                  <c:v>845.7</c:v>
                </c:pt>
                <c:pt idx="6">
                  <c:v>1561.2</c:v>
                </c:pt>
                <c:pt idx="7">
                  <c:v>927.3</c:v>
                </c:pt>
                <c:pt idx="8">
                  <c:v>1846.8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E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4099416"/>
        <c:axId val="124094712"/>
      </c:lineChart>
      <c:scatterChart>
        <c:scatterStyle val="lineMarker"/>
        <c:varyColors val="0"/>
        <c:ser>
          <c:idx val="6"/>
          <c:order val="6"/>
          <c:tx>
            <c:strRef>
              <c:f>Лист1!$H$1</c:f>
              <c:strCache>
                <c:ptCount val="1"/>
                <c:pt idx="0">
                  <c:v>Степень освоения средств, %</c:v>
                </c:pt>
              </c:strCache>
            </c:strRef>
          </c:tx>
          <c:spPr>
            <a:ln w="28559">
              <a:noFill/>
            </a:ln>
          </c:spPr>
          <c:marker>
            <c:symbol val="diamond"/>
            <c:size val="6"/>
            <c:spPr>
              <a:solidFill>
                <a:srgbClr val="0070C0"/>
              </a:solidFill>
            </c:spPr>
          </c:marker>
          <c:dLbls>
            <c:dLbl>
              <c:idx val="0"/>
              <c:layout>
                <c:manualLayout>
                  <c:x val="-2.6275530958432762E-2"/>
                  <c:y val="-2.8177332378907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D39-4A05-9F8E-8ADB978B0D6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222400136804247E-2"/>
                  <c:y val="-2.6552517298974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D39-4A05-9F8E-8ADB978B0D6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56893715037842E-2"/>
                  <c:y val="-3.1001288475304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D39-4A05-9F8E-8ADB978B0D6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807621653413804E-2"/>
                  <c:y val="-2.3442996898115031E-2"/>
                </c:manualLayout>
              </c:layout>
              <c:tx>
                <c:rich>
                  <a:bodyPr/>
                  <a:lstStyle/>
                  <a:p>
                    <a:fld id="{7290D451-F345-469F-A882-7DD34B08EDC5}" type="YVALUE">
                      <a:rPr lang="en-US"/>
                      <a:pPr/>
                      <a:t>[ЗНАЧЕНИЕ Y]</a:t>
                    </a:fld>
                    <a:r>
                      <a:rPr lang="en-US"/>
                      <a:t>*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2F-ED8C-42DB-9694-2EF62056825D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1.9743336623889437E-2"/>
                  <c:y val="-6.5781151170145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170-4390-B3B4-70E155524E5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056986213347221E-2"/>
                  <c:y val="-8.3545647875609572E-2"/>
                </c:manualLayout>
              </c:layout>
              <c:tx>
                <c:rich>
                  <a:bodyPr/>
                  <a:lstStyle/>
                  <a:p>
                    <a:fld id="{52A7DBD2-486A-451E-9C94-D6B52B1DC201}" type="YVALUE">
                      <a:rPr lang="en-US"/>
                      <a:pPr/>
                      <a:t>[ЗНАЧЕНИЕ Y]</a:t>
                    </a:fld>
                    <a:r>
                      <a:rPr lang="en-US" sz="800"/>
                      <a:t>***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D39-4A05-9F8E-8ADB978B0D6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3.5538005923000986E-2"/>
                  <c:y val="-2.1361393462180887E-2"/>
                </c:manualLayout>
              </c:layout>
              <c:tx>
                <c:rich>
                  <a:bodyPr/>
                  <a:lstStyle/>
                  <a:p>
                    <a:fld id="{BCB9FAC9-BDA7-41CD-A338-AB2055668173}" type="YVALUE">
                      <a:rPr lang="en-US"/>
                      <a:pPr/>
                      <a:t>[ЗНАЧЕНИЕ Y]</a:t>
                    </a:fld>
                    <a:r>
                      <a:rPr lang="en-US"/>
                      <a:t>**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D39-4A05-9F8E-8ADB978B0D6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2.9054833101439814E-2"/>
                  <c:y val="-2.8270484371271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30-ED8C-42DB-9694-2EF6205682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3692003948667325E-2"/>
                  <c:y val="-2.3899785254115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D39-4A05-9F8E-8ADB978B0D6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"/>
                  <c:y val="9.46857616285952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D39-4A05-9F8E-8ADB978B0D6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strRef>
              <c:f>Лист1!$A$2:$A$10</c:f>
              <c:strCache>
                <c:ptCount val="9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Информационное общество</c:v>
                </c:pt>
              </c:strCache>
            </c:strRef>
          </c:xVal>
          <c:yVal>
            <c:numRef>
              <c:f>Лист1!$H$2:$H$10</c:f>
              <c:numCache>
                <c:formatCode>0.0%</c:formatCode>
                <c:ptCount val="9"/>
                <c:pt idx="0">
                  <c:v>0.98800813008130073</c:v>
                </c:pt>
                <c:pt idx="1">
                  <c:v>0.89595283109558754</c:v>
                </c:pt>
                <c:pt idx="2">
                  <c:v>0.99189801024663404</c:v>
                </c:pt>
                <c:pt idx="3">
                  <c:v>1.0643159657244163</c:v>
                </c:pt>
                <c:pt idx="4">
                  <c:v>0.96237576904874589</c:v>
                </c:pt>
                <c:pt idx="5">
                  <c:v>0.26204567285346886</c:v>
                </c:pt>
                <c:pt idx="6">
                  <c:v>1.0240734667103968</c:v>
                </c:pt>
                <c:pt idx="7">
                  <c:v>0.88062678062678057</c:v>
                </c:pt>
                <c:pt idx="8">
                  <c:v>0.98928647953717597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124097064"/>
        <c:axId val="124096672"/>
      </c:scatterChart>
      <c:catAx>
        <c:axId val="124099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0" baseline="30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094712"/>
        <c:crosses val="autoZero"/>
        <c:auto val="1"/>
        <c:lblAlgn val="ctr"/>
        <c:lblOffset val="100"/>
        <c:noMultiLvlLbl val="0"/>
      </c:catAx>
      <c:valAx>
        <c:axId val="124094712"/>
        <c:scaling>
          <c:orientation val="minMax"/>
          <c:max val="50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Times New Roman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Млн.рублей</a:t>
                </a:r>
              </a:p>
            </c:rich>
          </c:tx>
          <c:layout>
            <c:manualLayout>
              <c:xMode val="edge"/>
              <c:yMode val="edge"/>
              <c:x val="3.2935720152453787E-2"/>
              <c:y val="0.25554981149177991"/>
            </c:manualLayout>
          </c:layout>
          <c:overlay val="0"/>
        </c:title>
        <c:numFmt formatCode="#\ ##0.0" sourceLinked="1"/>
        <c:majorTickMark val="none"/>
        <c:minorTickMark val="none"/>
        <c:tickLblPos val="none"/>
        <c:spPr>
          <a:ln w="9525"/>
        </c:spPr>
        <c:crossAx val="124099416"/>
        <c:crosses val="autoZero"/>
        <c:crossBetween val="between"/>
        <c:majorUnit val="400"/>
      </c:valAx>
      <c:valAx>
        <c:axId val="124097064"/>
        <c:scaling>
          <c:orientation val="minMax"/>
        </c:scaling>
        <c:delete val="1"/>
        <c:axPos val="b"/>
        <c:majorTickMark val="out"/>
        <c:minorTickMark val="none"/>
        <c:tickLblPos val="none"/>
        <c:crossAx val="124096672"/>
        <c:crosses val="autoZero"/>
        <c:crossBetween val="midCat"/>
      </c:valAx>
      <c:valAx>
        <c:axId val="124096672"/>
        <c:scaling>
          <c:orientation val="minMax"/>
        </c:scaling>
        <c:delete val="0"/>
        <c:axPos val="r"/>
        <c:numFmt formatCode="0.0%" sourceLinked="1"/>
        <c:majorTickMark val="none"/>
        <c:minorTickMark val="none"/>
        <c:tickLblPos val="none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ru-RU"/>
          </a:p>
        </c:txPr>
        <c:crossAx val="124097064"/>
        <c:crosses val="max"/>
        <c:crossBetween val="midCat"/>
      </c:valAx>
    </c:plotArea>
    <c:legend>
      <c:legendPos val="b"/>
      <c:layout>
        <c:manualLayout>
          <c:xMode val="edge"/>
          <c:yMode val="edge"/>
          <c:x val="5.7252877941096451E-2"/>
          <c:y val="0.92828243774917352"/>
          <c:w val="0.91175723468919789"/>
          <c:h val="3.3979094718423412E-2"/>
        </c:manualLayout>
      </c:layout>
      <c:overlay val="0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81CF2-E330-4DC7-9B80-E603467A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11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 А.П.</dc:creator>
  <cp:keywords/>
  <dc:description/>
  <cp:lastModifiedBy>Пашинцева В.С.</cp:lastModifiedBy>
  <cp:revision>29</cp:revision>
  <cp:lastPrinted>2023-04-13T14:17:00Z</cp:lastPrinted>
  <dcterms:created xsi:type="dcterms:W3CDTF">2025-05-16T08:30:00Z</dcterms:created>
  <dcterms:modified xsi:type="dcterms:W3CDTF">2025-05-16T14:27:00Z</dcterms:modified>
</cp:coreProperties>
</file>